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3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MEGAROBO Studio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8</w:t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3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8"/>
      <w:bookmarkStart w:id="1" w:name="OLE_LINK9"/>
      <w:bookmarkStart w:id="2" w:name="OLE_LINK7"/>
      <w:r>
        <w:rPr>
          <w:rFonts w:hint="eastAsia" w:hAnsi="宋体" w:cs="Arial"/>
          <w:b/>
          <w:sz w:val="52"/>
          <w:szCs w:val="52"/>
          <w:lang w:val="en-US" w:eastAsia="zh-CN"/>
        </w:rPr>
        <w:t>MEGAROBO Studio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3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3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9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2"/>
            <w:bookmarkStart w:id="6" w:name="OLE_LINK12"/>
            <w:bookmarkStart w:id="7" w:name="OLE_LINK1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2019-4-3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3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2019-1-3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cs="Arial"/>
              </w:rPr>
            </w:pPr>
            <w:r>
              <w:t>0.1.0.27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中文翻译更新</w:t>
            </w:r>
          </w:p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t>读取REVMOTION状态判定机械版本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8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2019-1-22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0.1.1.0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H2回零方式</w:t>
            </w:r>
          </w:p>
          <w:p>
            <w:pPr>
              <w:pStyle w:val="33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默认加减速比25%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002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2019-4-3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0.1.1.1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去掉Ctrl+F1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更新工作范围[-50,20]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H2回零时使用延迟停止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降低CPU占用率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POS</w:t>
            </w:r>
            <w:r>
              <w:rPr>
                <w:color w:val="C0C0C0"/>
              </w:rPr>
              <w:t xml:space="preserve"> </w:t>
            </w:r>
            <w:r>
              <w:t>PERIOD</w:t>
            </w:r>
            <w:r>
              <w:rPr>
                <w:color w:val="C0C0C0"/>
              </w:rPr>
              <w:t xml:space="preserve"> </w:t>
            </w:r>
            <w:r>
              <w:t>单位ms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增加自动登录选项,调整启动顺序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app</w:t>
            </w:r>
            <w:r>
              <w:rPr>
                <w:color w:val="C0C0C0"/>
              </w:rPr>
              <w:t xml:space="preserve"> </w:t>
            </w:r>
            <w:r>
              <w:t>tool</w:t>
            </w:r>
            <w:r>
              <w:rPr>
                <w:color w:val="C0C0C0"/>
              </w:rPr>
              <w:t xml:space="preserve"> </w:t>
            </w:r>
            <w:r>
              <w:t>存储缺陷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mrp编辑界面添加check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去掉单独存储菜单，只保留“全部存储”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DOWNLOAD</w:t>
            </w:r>
            <w:r>
              <w:rPr>
                <w:color w:val="C0C0C0"/>
              </w:rPr>
              <w:t xml:space="preserve"> </w:t>
            </w:r>
            <w:r>
              <w:t>txy/txyz/txyzh/txyzm/txyzhm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修改默认目录和DEMO存放位置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增加自动时间分辨率选择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 xml:space="preserve"> 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t>支持MV_1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7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7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7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7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7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7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9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hint="eastAsia" w:ascii="黑体" w:hAnsi="宋体" w:eastAsia="宋体" w:cs="Arial"/>
          <w:szCs w:val="21"/>
          <w:lang w:eastAsia="zh-CN"/>
        </w:rPr>
      </w:pPr>
      <w:r>
        <w:t>0.1.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9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2019-4-03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9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val="en-US" w:eastAsia="zh-CN"/>
        </w:rPr>
        <w:t>MEGAROBO Studio</w:t>
      </w:r>
      <w:r>
        <w:rPr>
          <w:rFonts w:hint="eastAsia" w:cs="Arial"/>
          <w:szCs w:val="21"/>
          <w:lang w:eastAsia="zh-CN"/>
        </w:rPr>
        <w:t>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hint="eastAsia" w:cs="Arial"/>
          <w:szCs w:val="21"/>
          <w:lang w:eastAsia="zh-CN"/>
        </w:rPr>
        <w:t>MEGAROBO Studio 0.1.</w:t>
      </w:r>
      <w:r>
        <w:rPr>
          <w:rFonts w:hint="eastAsia" w:cs="Arial"/>
          <w:szCs w:val="21"/>
          <w:lang w:val="en-US" w:eastAsia="zh-CN"/>
        </w:rPr>
        <w:t>1</w:t>
      </w:r>
      <w:r>
        <w:rPr>
          <w:rFonts w:hint="eastAsia" w:cs="Arial"/>
          <w:szCs w:val="21"/>
          <w:lang w:eastAsia="zh-CN"/>
        </w:rPr>
        <w:t>.</w:t>
      </w:r>
      <w:r>
        <w:rPr>
          <w:rFonts w:hint="eastAsia" w:cs="Arial"/>
          <w:szCs w:val="21"/>
          <w:lang w:val="en-US" w:eastAsia="zh-CN"/>
        </w:rPr>
        <w:t>1</w:t>
      </w:r>
      <w:r>
        <w:rPr>
          <w:rFonts w:hint="eastAsia" w:cs="Arial"/>
          <w:szCs w:val="21"/>
          <w:lang w:eastAsia="zh-CN"/>
        </w:rPr>
        <w:t>.exe</w:t>
      </w:r>
      <w:r>
        <w:rPr>
          <w:rFonts w:hint="eastAsia" w:cs="Arial"/>
          <w:szCs w:val="21"/>
          <w:lang w:val="en-US" w:eastAsia="zh-CN"/>
        </w:rPr>
        <w:t>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9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tbl>
      <w:tblPr>
        <w:tblStyle w:val="23"/>
        <w:tblW w:w="842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520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软件</w:t>
            </w:r>
          </w:p>
        </w:tc>
        <w:tc>
          <w:tcPr>
            <w:tcW w:w="3358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</w:t>
            </w:r>
          </w:p>
        </w:tc>
        <w:tc>
          <w:tcPr>
            <w:tcW w:w="2542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520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eastAsia" w:ascii="宋体" w:hAnsi="Times New Roman" w:eastAsia="宋体" w:cs="宋体"/>
                <w:color w:val="000000"/>
                <w:sz w:val="20"/>
                <w:lang w:val="en-US" w:eastAsia="zh-CN"/>
              </w:rPr>
            </w:pPr>
            <w:r>
              <w:t>0.1.</w:t>
            </w: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358" w:type="dxa"/>
            <w:tcBorders>
              <w:bottom w:val="single" w:color="000000" w:sz="4" w:space="0"/>
            </w:tcBorders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MRQ-2304:</w:t>
            </w:r>
            <w:r>
              <w:rPr>
                <w:color w:val="C0C0C0"/>
              </w:rPr>
              <w:t xml:space="preserve"> </w:t>
            </w:r>
            <w:r>
              <w:t>00.00.01.23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MRQ-S/D:</w:t>
            </w:r>
            <w:r>
              <w:rPr>
                <w:color w:val="C0C0C0"/>
              </w:rPr>
              <w:t xml:space="preserve">  </w:t>
            </w:r>
            <w:r>
              <w:t>00.00.01.23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MRQ-MV:</w:t>
            </w:r>
            <w:r>
              <w:rPr>
                <w:color w:val="C0C0C0"/>
              </w:rPr>
              <w:t xml:space="preserve">   </w:t>
            </w:r>
            <w:r>
              <w:t>00.00.01.31</w:t>
            </w:r>
          </w:p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  <w:tc>
          <w:tcPr>
            <w:tcW w:w="2542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</w:tbl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4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numPr>
          <w:ilvl w:val="0"/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default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2019-4-3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去掉Ctrl+F1                                   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更新工作范围[-50,20]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H2回零时使用延迟停止   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降低CPU占用率      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POS PERIOD 单位ms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增加自动登录选项,调整启动顺序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app tool 存储缺陷 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mrp编辑界面添加check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去掉单独存储菜单，只保留“全部存储”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DOWNLOAD txy/txyz/txyzh/txyzm/txyzhm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修改默认目录和DEMO存放位置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 xml:space="preserve">增加自动时间分辨率选择                         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支持MV_1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p>
      <w:pPr>
        <w:numPr>
          <w:ilvl w:val="0"/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</w:t>
            </w: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eastAsia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H2回零后的间隙运动同时X,Y移动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cs="Arial"/>
                <w:szCs w:val="21"/>
                <w:lang w:val="en-US" w:eastAsia="zh-CN"/>
              </w:rPr>
              <w:t>默认占比25%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MRX-T4角度范围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MRX-T4更新包装位和爪子回零位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根据MRX-T4固件更新基座高度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H2增加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STOP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tbl>
      <w:tblPr>
        <w:tblStyle w:val="23"/>
        <w:tblW w:w="851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4195"/>
        <w:gridCol w:w="262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0.1.0.27</w:t>
            </w:r>
          </w:p>
        </w:tc>
        <w:tc>
          <w:tcPr>
            <w:tcW w:w="3616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eastAsia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2019-1-3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Ansi="宋体" w:cs="Arial"/>
                <w:szCs w:val="21"/>
                <w:lang w:eastAsia="zh-CN"/>
              </w:rPr>
            </w:pPr>
            <w:r>
              <w:t>中文翻译更新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  <w:r>
              <w:rPr>
                <w:rFonts w:hint="eastAsia" w:hAnsi="宋体" w:cs="Arial"/>
                <w:szCs w:val="21"/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hAnsi="宋体" w:cs="Arial"/>
                <w:szCs w:val="21"/>
                <w:lang w:eastAsia="zh-CN"/>
              </w:rPr>
            </w:pPr>
            <w:r>
              <w:t>增加登录模式:</w:t>
            </w:r>
            <w:r>
              <w:rPr>
                <w:color w:val="C0C0C0"/>
              </w:rPr>
              <w:t xml:space="preserve"> </w:t>
            </w:r>
            <w:r>
              <w:t>"操作员"模式下不能进行控制器设置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工程文件增加</w:t>
            </w:r>
            <w:r>
              <w:rPr>
                <w:color w:val="C0C0C0"/>
              </w:rPr>
              <w:t xml:space="preserve"> </w:t>
            </w:r>
            <w:r>
              <w:t>exploere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T4/H2</w:t>
            </w:r>
            <w:r>
              <w:rPr>
                <w:color w:val="C0C0C0"/>
              </w:rPr>
              <w:t xml:space="preserve"> </w:t>
            </w:r>
            <w:r>
              <w:t>控制器复位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t>读取REVMOTION状态判定机械版本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需要固件支持</w:t>
            </w: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  <w:r>
              <w:rPr>
                <w:rFonts w:hint="eastAsia" w:hAnsi="宋体" w:cs="Arial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pStyle w:val="35"/>
              <w:widowControl w:val="0"/>
              <w:numPr>
                <w:ilvl w:val="0"/>
                <w:numId w:val="5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19" w:type="dxa"/>
            <w:gridSpan w:val="2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</w:tc>
        <w:tc>
          <w:tcPr>
            <w:tcW w:w="992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ind w:left="480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2019-04-03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PAGE </w:instrText>
    </w:r>
    <w:r>
      <w:rPr>
        <w:rStyle w:val="26"/>
      </w:rPr>
      <w:fldChar w:fldCharType="separate"/>
    </w:r>
    <w:r>
      <w:rPr>
        <w:rStyle w:val="26"/>
        <w:lang w:eastAsia="zh-CN"/>
      </w:rPr>
      <w:t>3</w:t>
    </w:r>
    <w:r>
      <w:rPr>
        <w:rStyle w:val="26"/>
      </w:rPr>
      <w:fldChar w:fldCharType="end"/>
    </w:r>
    <w:r>
      <w:rPr>
        <w:rFonts w:hint="eastAsia"/>
        <w:lang w:eastAsia="zh-CN"/>
      </w:rPr>
      <w:t>页，共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  <w:lang w:eastAsia="zh-CN"/>
      </w:rPr>
      <w:t>8</w:t>
    </w:r>
    <w:r>
      <w:rPr>
        <w:rStyle w:val="26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0"/>
        <w:rPr>
          <w:lang w:eastAsia="zh-CN"/>
        </w:rPr>
      </w:pPr>
      <w:r>
        <w:rPr>
          <w:rStyle w:val="29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B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902A0"/>
    <w:rsid w:val="000B1955"/>
    <w:rsid w:val="000B2EC4"/>
    <w:rsid w:val="000D3DB1"/>
    <w:rsid w:val="000D42A1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77"/>
    <w:rsid w:val="001F4F74"/>
    <w:rsid w:val="00206D66"/>
    <w:rsid w:val="00207D49"/>
    <w:rsid w:val="002110B9"/>
    <w:rsid w:val="002335AC"/>
    <w:rsid w:val="002358DE"/>
    <w:rsid w:val="00241397"/>
    <w:rsid w:val="00260AEE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D3048"/>
    <w:rsid w:val="002D4938"/>
    <w:rsid w:val="002E008E"/>
    <w:rsid w:val="002F1E82"/>
    <w:rsid w:val="00311360"/>
    <w:rsid w:val="0031236D"/>
    <w:rsid w:val="00312CEB"/>
    <w:rsid w:val="00312E2C"/>
    <w:rsid w:val="00321826"/>
    <w:rsid w:val="00325ABE"/>
    <w:rsid w:val="00330CDF"/>
    <w:rsid w:val="00332929"/>
    <w:rsid w:val="0033621B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4760"/>
    <w:rsid w:val="003A047E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20D72"/>
    <w:rsid w:val="004219BE"/>
    <w:rsid w:val="00422916"/>
    <w:rsid w:val="004412C9"/>
    <w:rsid w:val="0045377C"/>
    <w:rsid w:val="00455787"/>
    <w:rsid w:val="00457768"/>
    <w:rsid w:val="00472230"/>
    <w:rsid w:val="0048141B"/>
    <w:rsid w:val="004818D8"/>
    <w:rsid w:val="00483F39"/>
    <w:rsid w:val="00484D76"/>
    <w:rsid w:val="004867D6"/>
    <w:rsid w:val="00494548"/>
    <w:rsid w:val="0049636C"/>
    <w:rsid w:val="004A198D"/>
    <w:rsid w:val="004A3AFF"/>
    <w:rsid w:val="004A6A06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B309E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240FB"/>
    <w:rsid w:val="006263E4"/>
    <w:rsid w:val="00626F4F"/>
    <w:rsid w:val="00627D0C"/>
    <w:rsid w:val="00634E23"/>
    <w:rsid w:val="00637D8D"/>
    <w:rsid w:val="0064086B"/>
    <w:rsid w:val="00650260"/>
    <w:rsid w:val="00651AD1"/>
    <w:rsid w:val="00661F8E"/>
    <w:rsid w:val="006700BB"/>
    <w:rsid w:val="0067162E"/>
    <w:rsid w:val="0067228C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64EB"/>
    <w:rsid w:val="006B7D70"/>
    <w:rsid w:val="006C10D9"/>
    <w:rsid w:val="006D05DA"/>
    <w:rsid w:val="006D5AF8"/>
    <w:rsid w:val="006D6C1D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17E4"/>
    <w:rsid w:val="007B551C"/>
    <w:rsid w:val="007B6C5A"/>
    <w:rsid w:val="007C27F2"/>
    <w:rsid w:val="007C29C2"/>
    <w:rsid w:val="007C4282"/>
    <w:rsid w:val="007D009D"/>
    <w:rsid w:val="007E339C"/>
    <w:rsid w:val="007E521C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5587"/>
    <w:rsid w:val="00876DF5"/>
    <w:rsid w:val="008772DD"/>
    <w:rsid w:val="008804CE"/>
    <w:rsid w:val="00880E89"/>
    <w:rsid w:val="00883B02"/>
    <w:rsid w:val="0088540D"/>
    <w:rsid w:val="0089002B"/>
    <w:rsid w:val="00893442"/>
    <w:rsid w:val="00896121"/>
    <w:rsid w:val="008A409D"/>
    <w:rsid w:val="008A4EAF"/>
    <w:rsid w:val="008B0C53"/>
    <w:rsid w:val="008B4601"/>
    <w:rsid w:val="008B79B4"/>
    <w:rsid w:val="008E05E6"/>
    <w:rsid w:val="008E09B7"/>
    <w:rsid w:val="008E70FF"/>
    <w:rsid w:val="008F044C"/>
    <w:rsid w:val="008F1818"/>
    <w:rsid w:val="008F6299"/>
    <w:rsid w:val="008F6AF7"/>
    <w:rsid w:val="00903764"/>
    <w:rsid w:val="00903917"/>
    <w:rsid w:val="00921222"/>
    <w:rsid w:val="00925C55"/>
    <w:rsid w:val="0094043E"/>
    <w:rsid w:val="00940E00"/>
    <w:rsid w:val="00942A27"/>
    <w:rsid w:val="00955ABF"/>
    <w:rsid w:val="00955E9F"/>
    <w:rsid w:val="009610F5"/>
    <w:rsid w:val="009732A8"/>
    <w:rsid w:val="00986F22"/>
    <w:rsid w:val="00987C3F"/>
    <w:rsid w:val="00994671"/>
    <w:rsid w:val="00995440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7CD0"/>
    <w:rsid w:val="00A80BA5"/>
    <w:rsid w:val="00A81AEF"/>
    <w:rsid w:val="00A95A07"/>
    <w:rsid w:val="00AA47EC"/>
    <w:rsid w:val="00AA493D"/>
    <w:rsid w:val="00AB6193"/>
    <w:rsid w:val="00AD01DA"/>
    <w:rsid w:val="00AD1E8A"/>
    <w:rsid w:val="00AD2938"/>
    <w:rsid w:val="00AD2B06"/>
    <w:rsid w:val="00AD2DD5"/>
    <w:rsid w:val="00AE0D91"/>
    <w:rsid w:val="00AE44A8"/>
    <w:rsid w:val="00AF063A"/>
    <w:rsid w:val="00B04236"/>
    <w:rsid w:val="00B251D3"/>
    <w:rsid w:val="00B25F65"/>
    <w:rsid w:val="00B34BF4"/>
    <w:rsid w:val="00B350FA"/>
    <w:rsid w:val="00B365A6"/>
    <w:rsid w:val="00B43C43"/>
    <w:rsid w:val="00B472E6"/>
    <w:rsid w:val="00B55CE7"/>
    <w:rsid w:val="00B56033"/>
    <w:rsid w:val="00B6056B"/>
    <w:rsid w:val="00B63246"/>
    <w:rsid w:val="00B64E7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D21F0"/>
    <w:rsid w:val="00BD3C55"/>
    <w:rsid w:val="00BD7419"/>
    <w:rsid w:val="00BE0802"/>
    <w:rsid w:val="00BE456B"/>
    <w:rsid w:val="00BE5BD4"/>
    <w:rsid w:val="00BF5960"/>
    <w:rsid w:val="00C10F37"/>
    <w:rsid w:val="00C21C14"/>
    <w:rsid w:val="00C269C6"/>
    <w:rsid w:val="00C26FDF"/>
    <w:rsid w:val="00C36EB7"/>
    <w:rsid w:val="00C40381"/>
    <w:rsid w:val="00C4139F"/>
    <w:rsid w:val="00C44CF9"/>
    <w:rsid w:val="00C4746F"/>
    <w:rsid w:val="00C510DF"/>
    <w:rsid w:val="00C67A00"/>
    <w:rsid w:val="00C73681"/>
    <w:rsid w:val="00C738AA"/>
    <w:rsid w:val="00C745E1"/>
    <w:rsid w:val="00C83B97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62906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12ED"/>
    <w:rsid w:val="00D939F3"/>
    <w:rsid w:val="00DA203B"/>
    <w:rsid w:val="00DA445A"/>
    <w:rsid w:val="00DA4C30"/>
    <w:rsid w:val="00DB1D39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7B5B"/>
    <w:rsid w:val="00E31A4C"/>
    <w:rsid w:val="00E33FFC"/>
    <w:rsid w:val="00E343BF"/>
    <w:rsid w:val="00E413A4"/>
    <w:rsid w:val="00E4157C"/>
    <w:rsid w:val="00E43162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590C"/>
    <w:rsid w:val="00EB3E39"/>
    <w:rsid w:val="00EB4043"/>
    <w:rsid w:val="00EB6C86"/>
    <w:rsid w:val="00EB7F93"/>
    <w:rsid w:val="00ED4111"/>
    <w:rsid w:val="00ED55F3"/>
    <w:rsid w:val="00ED606B"/>
    <w:rsid w:val="00ED68F8"/>
    <w:rsid w:val="00ED7DAF"/>
    <w:rsid w:val="00EE5624"/>
    <w:rsid w:val="00EF458F"/>
    <w:rsid w:val="00EF610C"/>
    <w:rsid w:val="00F0036C"/>
    <w:rsid w:val="00F032EB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1C1155C8"/>
    <w:rsid w:val="1CFC3717"/>
    <w:rsid w:val="1DBD0C22"/>
    <w:rsid w:val="34D80337"/>
    <w:rsid w:val="38346302"/>
    <w:rsid w:val="394F6CF7"/>
    <w:rsid w:val="511F0434"/>
    <w:rsid w:val="6EB61BB4"/>
    <w:rsid w:val="71175D75"/>
    <w:rsid w:val="7A00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</w:style>
  <w:style w:type="paragraph" w:styleId="13">
    <w:name w:val="Body Text"/>
    <w:basedOn w:val="1"/>
    <w:qFormat/>
    <w:uiPriority w:val="0"/>
    <w:pPr>
      <w:spacing w:line="440" w:lineRule="exact"/>
      <w:ind w:firstLine="200" w:firstLineChars="200"/>
      <w:jc w:val="center"/>
    </w:pPr>
  </w:style>
  <w:style w:type="paragraph" w:styleId="1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0">
    <w:name w:val="footnote text"/>
    <w:basedOn w:val="1"/>
    <w:semiHidden/>
    <w:qFormat/>
    <w:uiPriority w:val="0"/>
    <w:rPr>
      <w:sz w:val="18"/>
    </w:rPr>
  </w:style>
  <w:style w:type="paragraph" w:styleId="2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annotation subject"/>
    <w:basedOn w:val="12"/>
    <w:next w:val="12"/>
    <w:semiHidden/>
    <w:qFormat/>
    <w:uiPriority w:val="0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semiHidden/>
    <w:qFormat/>
    <w:uiPriority w:val="0"/>
    <w:rPr>
      <w:sz w:val="21"/>
      <w:szCs w:val="21"/>
    </w:rPr>
  </w:style>
  <w:style w:type="character" w:styleId="29">
    <w:name w:val="footnote reference"/>
    <w:basedOn w:val="25"/>
    <w:semiHidden/>
    <w:qFormat/>
    <w:uiPriority w:val="0"/>
    <w:rPr>
      <w:vertAlign w:val="superscript"/>
    </w:r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qFormat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Char"/>
    <w:basedOn w:val="25"/>
    <w:link w:val="15"/>
    <w:qFormat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8</Pages>
  <Words>687</Words>
  <Characters>3922</Characters>
  <Lines>32</Lines>
  <Paragraphs>9</Paragraphs>
  <TotalTime>0</TotalTime>
  <ScaleCrop>false</ScaleCrop>
  <LinksUpToDate>false</LinksUpToDate>
  <CharactersWithSpaces>4600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2019-04-03T10:29:02Z</dcterms:modified>
  <dc:title>XX部文件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