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MSF-YOLO：面向风机叶片缺陷检测的多尺度形态感知算法研究</w:t>
      </w:r>
    </w:p>
    <w:p>
      <w:pPr>
        <w:pStyle w:val="Subtitle"/>
      </w:pPr>
      <w:r>
        <w:t xml:space="preserve">完整论文骨架版</w:t>
      </w:r>
    </w:p>
    <w:p>
      <w:pPr>
        <w:pStyle w:val="Heading1"/>
      </w:pPr>
      <w:r>
        <w:t xml:space="preserve">摘  要</w:t>
      </w:r>
    </w:p>
    <w:p>
      <w:r>
        <w:t xml:space="preserve">风机叶片在长期运行过程中易产生裂纹、孔洞、腐蚀和表面剥落等缺陷。针对巡检图像中缺陷目标尺度小、形态差异大、类别分布不均衡以及高分辨率图像整图推理细节损失等问题，本文提出一种多尺度形态感知检测算法 MSF-YOLO。首先，基于 YOLO 检测框架构建 P2-P5 四尺度检测头，引入 P2 浅层高分辨率分支以增强小目标特征表达；其次，设计 Shape-Aware 形态感知损失函数，根据目标框面积占比和长宽比动态调整框回归损失权重；再次，采用困难样本重加权和类别权重策略，提高 crack、corrosion 和小目标样本在训练过程中的学习强度；最后，使用 Blade-Slice 重叠切片融合推理缓解整图缩放造成的小缺陷信息损失。本文进一步构建了包含数据集构建、消融实验、对比实验、背景误检统计和可视化分析的完整实验方案，为后续形成风机叶片缺陷检测论文提供系统化技术框架。</w:t>
      </w:r>
    </w:p>
    <w:p>
      <w:r>
        <w:t xml:space="preserve">关键词：风机叶片；缺陷检测；YOLO；小目标检测；形态感知损失；切片融合</w:t>
      </w:r>
    </w:p>
    <w:p>
      <w:pPr>
        <w:pStyle w:val="Heading1"/>
      </w:pPr>
      <w:r>
        <w:t xml:space="preserve">Abstract</w:t>
      </w:r>
    </w:p>
    <w:p>
      <w:r>
        <w:t xml:space="preserve">Wind turbine blades are prone to cracks, holes, corrosion and surface spalling during long-term service. To address small-scale defects, slender shapes, imbalanced categories and detail loss in high-resolution inference, this paper proposes a multi-scale shape-aware detector, named MSF-YOLO. The method introduces a P2 high-resolution detection branch, designs a Shape-Aware localization loss, adopts hard-sample reweighting, and performs Blade-Slice fusion inference. A complete experimental framework including ablation study, comparison experiments, category-wise evaluation, background false-positive analysis and visualization is designed for further validation.</w:t>
      </w:r>
    </w:p>
    <w:p>
      <w:r>
        <w:t xml:space="preserve">Keywords: wind turbine blade; defect detection; YOLO; small object detection; Shape-Aware Loss; Blade-Slice</w:t>
      </w:r>
    </w:p>
    <w:p>
      <w:pPr>
        <w:pStyle w:val="Heading1"/>
      </w:pPr>
      <w:r>
        <w:t xml:space="preserve">一、研究背景与难点创新</w:t>
      </w:r>
    </w:p>
    <w:p>
      <w:pPr>
        <w:pStyle w:val="Heading2"/>
      </w:pPr>
      <w:r>
        <w:t xml:space="preserve">1. 研究背景与意义</w:t>
      </w:r>
    </w:p>
    <w:p>
      <w:r>
        <w:t xml:space="preserve">风力发电机组长期处于交变载荷和复杂自然环境中，叶片作为关键受力部件，其表面状态直接影响机组运行安全。裂纹、腐蚀、孔洞和剥落等缺陷在早期往往尺寸较小，如果不能及时发现，可能进一步扩展并带来更高维修成本。因此，构建稳定、自动化的风机叶片缺陷检测方法，对巡检效率提升和运维风险控制具有重要意义。</w:t>
      </w:r>
    </w:p>
    <w:p>
      <w:r>
        <w:t xml:space="preserve">传统人工巡检依赖经验判断，面对大规模风场时存在效率低、主观性强和漏检风险高等问题。随着无人机巡检和深度学习目标检测技术的发展，基于图像的自动缺陷检测逐渐成为风机叶片智能运维的重要方向。然而，风机叶片缺陷在视觉上具有目标小、背景干扰强和形态不规则等特点，直接使用通用目标检测模型仍难以满足工程应用要求。</w:t>
      </w:r>
    </w:p>
    <w:p>
      <w:pPr>
        <w:pStyle w:val="Heading2"/>
      </w:pPr>
      <w:r>
        <w:t xml:space="preserve">2. 国内外研究现状</w:t>
      </w:r>
    </w:p>
    <w:p>
      <w:r>
        <w:t xml:space="preserve">工业表面缺陷检测通常经历了人工特征、传统机器学习和深度学习三个阶段。早期方法多依赖灰度、纹理、边缘和形态学特征，在规则背景下具有一定效果，但对光照变化、复杂纹理和跨场景泛化能力有限。深度学习方法通过卷积神经网络自动学习特征，在钢材、织物、电子元件和风机叶片等缺陷检测任务中得到广泛应用。</w:t>
      </w:r>
    </w:p>
    <w:p>
      <w:r>
        <w:t xml:space="preserve">两阶段检测器如 Faster R-CNN 具有较强定位能力，但模型复杂度和推理速度不利于实时检测。单阶段检测器如 YOLO 系列在速度和部署方面具有优势，适合工业巡检场景。近年来，研究者通常从轻量化网络、注意力机制、多尺度特征融合和损失函数改进等方面提升 YOLO 在工业缺陷检测中的表现。FEB-YOLOv8 通过改进 C2f、引入 EMA 和 BiFPN-light，以结构图、消融表和对比表形成了清晰的改进论证链路。本文借鉴此类论文的结构化表达方式，但围绕风机叶片小尺度异形缺陷，重点从 P2 小目标检测头、形态感知损失、困难样本训练和切片推理四个方面进行改进。</w:t>
      </w:r>
    </w:p>
    <w:p>
      <w:pPr>
        <w:pStyle w:val="Heading2"/>
      </w:pPr>
      <w:r>
        <w:t xml:space="preserve">3. 研究难点与创新点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800" w:type="dxa"/>
            <w:shd w:fill="D9EAF7"/>
            <w:vAlign w:val="center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tcW w:w="2200" w:type="dxa"/>
            <w:shd w:fill="D9EAF7"/>
            <w:vAlign w:val="center"/>
          </w:tcPr>
          <w:p>
            <w:r>
              <w:rPr>
                <w:b/>
              </w:rPr>
              <w:t xml:space="preserve">检测难点</w:t>
            </w:r>
          </w:p>
        </w:tc>
        <w:tc>
          <w:tcPr>
            <w:tcW w:w="5100" w:type="dxa"/>
            <w:shd w:fill="D9EAF7"/>
            <w:vAlign w:val="center"/>
          </w:tcPr>
          <w:p>
            <w:r>
              <w:rPr>
                <w:b/>
              </w:rPr>
              <w:t xml:space="preserve">具体表现</w:t>
            </w:r>
          </w:p>
        </w:tc>
        <w:tc>
          <w:tcPr>
            <w:tcW w:w="3400" w:type="dxa"/>
            <w:shd w:fill="D9EAF7"/>
            <w:vAlign w:val="center"/>
          </w:tcPr>
          <w:p>
            <w:r>
              <w:rPr>
                <w:b/>
              </w:rPr>
              <w:t xml:space="preserve">本文对应创新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1</w:t>
            </w:r>
          </w:p>
        </w:tc>
        <w:tc>
          <w:tcPr>
            <w:tcW w:w="2200" w:type="dxa"/>
            <w:vAlign w:val="center"/>
          </w:tcPr>
          <w:p>
            <w:r>
              <w:t xml:space="preserve">小尺度缺陷易退化</w:t>
            </w:r>
          </w:p>
        </w:tc>
        <w:tc>
          <w:tcPr>
            <w:tcW w:w="5100" w:type="dxa"/>
            <w:vAlign w:val="center"/>
          </w:tcPr>
          <w:p>
            <w:r>
              <w:t xml:space="preserve">远距离裂纹、小孔洞和小腐蚀在整图缩放后仅占少量像素</w:t>
            </w:r>
          </w:p>
        </w:tc>
        <w:tc>
          <w:tcPr>
            <w:tcW w:w="3400" w:type="dxa"/>
            <w:vAlign w:val="center"/>
          </w:tcPr>
          <w:p>
            <w:r>
              <w:t xml:space="preserve">引入 P2 高分辨率检测分支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2</w:t>
            </w:r>
          </w:p>
        </w:tc>
        <w:tc>
          <w:tcPr>
            <w:tcW w:w="2200" w:type="dxa"/>
            <w:vAlign w:val="center"/>
          </w:tcPr>
          <w:p>
            <w:r>
              <w:t xml:space="preserve">缺陷形态差异大</w:t>
            </w:r>
          </w:p>
        </w:tc>
        <w:tc>
          <w:tcPr>
            <w:tcW w:w="5100" w:type="dxa"/>
            <w:vAlign w:val="center"/>
          </w:tcPr>
          <w:p>
            <w:r>
              <w:t xml:space="preserve">裂纹细长，腐蚀和剥落边界不规则</w:t>
            </w:r>
          </w:p>
        </w:tc>
        <w:tc>
          <w:tcPr>
            <w:tcW w:w="3400" w:type="dxa"/>
            <w:vAlign w:val="center"/>
          </w:tcPr>
          <w:p>
            <w:r>
              <w:t xml:space="preserve">设计 Shape-Aware 形态感知损失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3</w:t>
            </w:r>
          </w:p>
        </w:tc>
        <w:tc>
          <w:tcPr>
            <w:tcW w:w="2200" w:type="dxa"/>
            <w:vAlign w:val="center"/>
          </w:tcPr>
          <w:p>
            <w:r>
              <w:t xml:space="preserve">困难类别学习不足</w:t>
            </w:r>
          </w:p>
        </w:tc>
        <w:tc>
          <w:tcPr>
            <w:tcW w:w="5100" w:type="dxa"/>
            <w:vAlign w:val="center"/>
          </w:tcPr>
          <w:p>
            <w:r>
              <w:t xml:space="preserve">crack、corrosion 更容易低置信度或漏检</w:t>
            </w:r>
          </w:p>
        </w:tc>
        <w:tc>
          <w:tcPr>
            <w:tcW w:w="3400" w:type="dxa"/>
            <w:vAlign w:val="center"/>
          </w:tcPr>
          <w:p>
            <w:r>
              <w:t xml:space="preserve">构建困难样本重加权与类别权重机制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4</w:t>
            </w:r>
          </w:p>
        </w:tc>
        <w:tc>
          <w:tcPr>
            <w:tcW w:w="2200" w:type="dxa"/>
            <w:vAlign w:val="center"/>
          </w:tcPr>
          <w:p>
            <w:r>
              <w:t xml:space="preserve">高分辨率推理细节损失</w:t>
            </w:r>
          </w:p>
        </w:tc>
        <w:tc>
          <w:tcPr>
            <w:tcW w:w="5100" w:type="dxa"/>
            <w:vAlign w:val="center"/>
          </w:tcPr>
          <w:p>
            <w:r>
              <w:t xml:space="preserve">普通整图推理难以兼顾全局语义与局部小缺陷细节</w:t>
            </w:r>
          </w:p>
        </w:tc>
        <w:tc>
          <w:tcPr>
            <w:tcW w:w="3400" w:type="dxa"/>
            <w:vAlign w:val="center"/>
          </w:tcPr>
          <w:p>
            <w:r>
              <w:t xml:space="preserve">采用 Blade-Slice 重叠切片融合推理</w:t>
            </w:r>
          </w:p>
        </w:tc>
      </w:tr>
    </w:tbl>
    <w:p>
      <w:pPr>
        <w:pStyle w:val="Caption"/>
        <w:jc w:val="center"/>
      </w:pPr>
      <w:r>
        <w:t xml:space="preserve">表 1  风机叶片缺陷检测难点与本文创新点</w:t>
      </w:r>
    </w:p>
    <w:p>
      <w:pPr>
        <w:jc w:val="center"/>
      </w:pPr>
      <w:r>
        <w:drawing>
          <wp:inline distT="0" distB="0" distL="0" distR="0">
            <wp:extent cx="5760000" cy="2381000"/>
            <wp:effectExtent l="0" t="0" r="0" b="0"/>
            <wp:docPr id="40" name="fig_color_5_msf_yolo_system_pipeline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fig_color_5_msf_yolo_system_pipeline.sv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1  MSF-YOLO 研究整体流程</w:t>
      </w:r>
    </w:p>
    <w:p>
      <w:pPr>
        <w:pStyle w:val="Heading1"/>
      </w:pPr>
      <w:r>
        <w:t xml:space="preserve">二、MSF-YOLO 算法设计结构</w:t>
      </w:r>
    </w:p>
    <w:p>
      <w:pPr>
        <w:pStyle w:val="Heading2"/>
      </w:pPr>
      <w:r>
        <w:t xml:space="preserve">1. 总体结构</w:t>
      </w:r>
    </w:p>
    <w:p>
      <w:r>
        <w:t xml:space="preserve">MSF-YOLO 的总体框架如图 2 所示。训练阶段，模型在 YOLO 检测框架基础上引入 P2 高分辨率检测分支，并通过 Shape-Aware Loss、困难样本重加权和类别权重强化小尺度、细长形态和困难类别目标的学习。推理阶段，Blade-Slice 作为独立增强模块参与检测结果融合。</w:t>
      </w:r>
    </w:p>
    <w:p>
      <w:pPr>
        <w:jc w:val="center"/>
      </w:pPr>
      <w:r>
        <w:drawing>
          <wp:inline distT="0" distB="0" distL="0" distR="0">
            <wp:extent cx="5760000" cy="3420000"/>
            <wp:effectExtent l="0" t="0" r="0" b="0"/>
            <wp:docPr id="41" name="fig_1_msf_yolo_framework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fig_1_msf_yolo_framework.sv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2  MSF-YOLO 总体框架</w:t>
      </w:r>
    </w:p>
    <w:p>
      <w:r>
        <w:t xml:space="preserve">为明确网络内部连接关系，本文根据 configs/yolov8n-p2-wind.yaml 绘制精确网络结构，如图 3 所示。Backbone 第 0 至 9 层提取 P2-P5 多尺度特征，Neck 第 10 至 27 层通过上采样、拼接和 C2f 模块完成自顶向下与自底向上的特征融合，最终 Detect 接收第 18、21、24 和 27 层输出，对应 P2、P3、P4 和 P5 四个检测尺度。</w:t>
      </w:r>
    </w:p>
    <w:p>
      <w:pPr>
        <w:jc w:val="center"/>
      </w:pPr>
      <w:r>
        <w:drawing>
          <wp:inline distT="0" distB="0" distL="0" distR="0">
            <wp:extent cx="5820000" cy="4040000"/>
            <wp:effectExtent l="0" t="0" r="0" b="0"/>
            <wp:docPr id="42" name="fig_color_0_msf_yolo_precise_network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fig_color_0_msf_yolo_precise_network.sv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20000" cy="4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3  MSF-YOLO 精确网络结构图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θ* = arg min_θ E_{i~p}[L_det(I_i,Y_i;θ,q)]</w:t>
      </w:r>
    </w:p>
    <w:p>
      <w:pPr>
        <w:pStyle w:val="Heading2"/>
      </w:pPr>
      <w:r>
        <w:t xml:space="preserve">2. P2 小目标检测头</w:t>
      </w:r>
    </w:p>
    <w:p>
      <w:r>
        <w:t xml:space="preserve">常规 YOLO 检测头通常使用 P3、P4 和 P5 三个输出层，最小检测步长为 8。本文增加 P2/4 输出层，使小尺度缺陷在浅层高分辨率特征图上获得更多响应单元。</w:t>
      </w:r>
    </w:p>
    <w:p>
      <w:pPr>
        <w:jc w:val="center"/>
      </w:pPr>
      <w:r>
        <w:drawing>
          <wp:inline distT="0" distB="0" distL="0" distR="0">
            <wp:extent cx="5600000" cy="2236000"/>
            <wp:effectExtent l="0" t="0" r="0" b="0"/>
            <wp:docPr id="43" name="fig_color_2_p2_head_structure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fig_color_2_p2_head_structure.sv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2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4  P2 小目标检测头结构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F_l ∈ R^{C_l × ceil(H/s_l) × ceil(W/s_l)}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n_cell(b,l)=sqrt(w_bh_b)/s_l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1500" w:type="dxa"/>
            <w:shd w:fill="D9EAF7"/>
            <w:vAlign w:val="center"/>
          </w:tcPr>
          <w:p>
            <w:r>
              <w:rPr>
                <w:b/>
              </w:rPr>
              <w:t xml:space="preserve">检测层</w:t>
            </w:r>
          </w:p>
        </w:tc>
        <w:tc>
          <w:tcPr>
            <w:tcW w:w="1200" w:type="dxa"/>
            <w:shd w:fill="D9EAF7"/>
            <w:vAlign w:val="center"/>
          </w:tcPr>
          <w:p>
            <w:r>
              <w:rPr>
                <w:b/>
              </w:rPr>
              <w:t xml:space="preserve">stride</w:t>
            </w:r>
          </w:p>
        </w:tc>
        <w:tc>
          <w:tcPr>
            <w:tcW w:w="3000" w:type="dxa"/>
            <w:shd w:fill="D9EAF7"/>
            <w:vAlign w:val="center"/>
          </w:tcPr>
          <w:p>
            <w:r>
              <w:rPr>
                <w:b/>
              </w:rPr>
              <w:t xml:space="preserve">1024 输入下特征图</w:t>
            </w:r>
          </w:p>
        </w:tc>
        <w:tc>
          <w:tcPr>
            <w:tcW w:w="4600" w:type="dxa"/>
            <w:shd w:fill="D9EAF7"/>
            <w:vAlign w:val="center"/>
          </w:tcPr>
          <w:p>
            <w:r>
              <w:rPr>
                <w:b/>
              </w:rPr>
              <w:t xml:space="preserve">主要关注对象</w:t>
            </w:r>
          </w:p>
        </w:tc>
      </w:tr>
      <w:tr>
        <w:tc>
          <w:tcPr>
            <w:tcW w:w="1500" w:type="dxa"/>
            <w:vAlign w:val="center"/>
          </w:tcPr>
          <w:p>
            <w:r>
              <w:t xml:space="preserve">P2</w:t>
            </w:r>
          </w:p>
        </w:tc>
        <w:tc>
          <w:tcPr>
            <w:tcW w:w="1200" w:type="dxa"/>
            <w:vAlign w:val="center"/>
          </w:tcPr>
          <w:p>
            <w:r>
              <w:t xml:space="preserve">4</w:t>
            </w:r>
          </w:p>
        </w:tc>
        <w:tc>
          <w:tcPr>
            <w:tcW w:w="3000" w:type="dxa"/>
            <w:vAlign w:val="center"/>
          </w:tcPr>
          <w:p>
            <w:r>
              <w:t xml:space="preserve">256 × 256</w:t>
            </w:r>
          </w:p>
        </w:tc>
        <w:tc>
          <w:tcPr>
            <w:tcW w:w="4600" w:type="dxa"/>
            <w:vAlign w:val="center"/>
          </w:tcPr>
          <w:p>
            <w:r>
              <w:t xml:space="preserve">小裂纹、小腐蚀、小孔洞</w:t>
            </w:r>
          </w:p>
        </w:tc>
      </w:tr>
      <w:tr>
        <w:tc>
          <w:tcPr>
            <w:tcW w:w="1500" w:type="dxa"/>
            <w:vAlign w:val="center"/>
          </w:tcPr>
          <w:p>
            <w:r>
              <w:t xml:space="preserve">P3</w:t>
            </w:r>
          </w:p>
        </w:tc>
        <w:tc>
          <w:tcPr>
            <w:tcW w:w="1200" w:type="dxa"/>
            <w:vAlign w:val="center"/>
          </w:tcPr>
          <w:p>
            <w:r>
              <w:t xml:space="preserve">8</w:t>
            </w:r>
          </w:p>
        </w:tc>
        <w:tc>
          <w:tcPr>
            <w:tcW w:w="3000" w:type="dxa"/>
            <w:vAlign w:val="center"/>
          </w:tcPr>
          <w:p>
            <w:r>
              <w:t xml:space="preserve">128 × 128</w:t>
            </w:r>
          </w:p>
        </w:tc>
        <w:tc>
          <w:tcPr>
            <w:tcW w:w="4600" w:type="dxa"/>
            <w:vAlign w:val="center"/>
          </w:tcPr>
          <w:p>
            <w:r>
              <w:t xml:space="preserve">小目标和中等目标</w:t>
            </w:r>
          </w:p>
        </w:tc>
      </w:tr>
      <w:tr>
        <w:tc>
          <w:tcPr>
            <w:tcW w:w="1500" w:type="dxa"/>
            <w:vAlign w:val="center"/>
          </w:tcPr>
          <w:p>
            <w:r>
              <w:t xml:space="preserve">P4</w:t>
            </w:r>
          </w:p>
        </w:tc>
        <w:tc>
          <w:tcPr>
            <w:tcW w:w="1200" w:type="dxa"/>
            <w:vAlign w:val="center"/>
          </w:tcPr>
          <w:p>
            <w:r>
              <w:t xml:space="preserve">16</w:t>
            </w:r>
          </w:p>
        </w:tc>
        <w:tc>
          <w:tcPr>
            <w:tcW w:w="3000" w:type="dxa"/>
            <w:vAlign w:val="center"/>
          </w:tcPr>
          <w:p>
            <w:r>
              <w:t xml:space="preserve">64 × 64</w:t>
            </w:r>
          </w:p>
        </w:tc>
        <w:tc>
          <w:tcPr>
            <w:tcW w:w="4600" w:type="dxa"/>
            <w:vAlign w:val="center"/>
          </w:tcPr>
          <w:p>
            <w:r>
              <w:t xml:space="preserve">中等目标</w:t>
            </w:r>
          </w:p>
        </w:tc>
      </w:tr>
      <w:tr>
        <w:tc>
          <w:tcPr>
            <w:tcW w:w="1500" w:type="dxa"/>
            <w:vAlign w:val="center"/>
          </w:tcPr>
          <w:p>
            <w:r>
              <w:t xml:space="preserve">P5</w:t>
            </w:r>
          </w:p>
        </w:tc>
        <w:tc>
          <w:tcPr>
            <w:tcW w:w="1200" w:type="dxa"/>
            <w:vAlign w:val="center"/>
          </w:tcPr>
          <w:p>
            <w:r>
              <w:t xml:space="preserve">32</w:t>
            </w:r>
          </w:p>
        </w:tc>
        <w:tc>
          <w:tcPr>
            <w:tcW w:w="3000" w:type="dxa"/>
            <w:vAlign w:val="center"/>
          </w:tcPr>
          <w:p>
            <w:r>
              <w:t xml:space="preserve">32 × 32</w:t>
            </w:r>
          </w:p>
        </w:tc>
        <w:tc>
          <w:tcPr>
            <w:tcW w:w="4600" w:type="dxa"/>
            <w:vAlign w:val="center"/>
          </w:tcPr>
          <w:p>
            <w:r>
              <w:t xml:space="preserve">大目标和强语义目标</w:t>
            </w:r>
          </w:p>
        </w:tc>
      </w:tr>
    </w:tbl>
    <w:p>
      <w:pPr>
        <w:pStyle w:val="Caption"/>
        <w:jc w:val="center"/>
      </w:pPr>
      <w:r>
        <w:t xml:space="preserve">表 2  多尺度检测层设置</w:t>
      </w:r>
    </w:p>
    <w:p>
      <w:pPr>
        <w:pStyle w:val="Heading2"/>
      </w:pPr>
      <w:r>
        <w:t xml:space="preserve">3. Shape-Aware 形态感知损失</w:t>
      </w:r>
    </w:p>
    <w:p>
      <w:r>
        <w:t xml:space="preserve">为提高模型对小面积和细长缺陷的定位能力，本文根据目标框面积占比和长宽比构造形态权重 q_i。当目标面积较小或长宽比较大时，其框回归误差在损失中获得更高权重。</w:t>
      </w:r>
    </w:p>
    <w:p>
      <w:pPr>
        <w:jc w:val="center"/>
      </w:pPr>
      <w:r>
        <w:drawing>
          <wp:inline distT="0" distB="0" distL="0" distR="0">
            <wp:extent cx="5600000" cy="2696000"/>
            <wp:effectExtent l="0" t="0" r="0" b="0"/>
            <wp:docPr id="44" name="fig_color_3_shape_aware_formula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fig_color_3_shape_aware_formula.sv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5  Shape-Aware Loss 公式结构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A_i = w_ih_i/(WH),   R_i=max(w_i/h_i,h_i/w_i)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S_i=clip((a_0-A_i)/a_0,0,1),   E_i=clip((R_i-r_0)/r_0,0,1)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q_i=clip(1+αS_i+βE_i,1,q_max)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L_box^shape=Σ(1-CIoU_i)t_iq_i/Σt_i,   L_dfl^shape=ΣDFL_it_iq_i/Σt_i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1800" w:type="dxa"/>
            <w:shd w:fill="D9EAF7"/>
            <w:vAlign w:val="center"/>
          </w:tcPr>
          <w:p>
            <w:r>
              <w:rPr>
                <w:b/>
              </w:rPr>
              <w:t xml:space="preserve">参数</w:t>
            </w:r>
          </w:p>
        </w:tc>
        <w:tc>
          <w:tcPr>
            <w:tcW w:w="1600" w:type="dxa"/>
            <w:shd w:fill="D9EAF7"/>
            <w:vAlign w:val="center"/>
          </w:tcPr>
          <w:p>
            <w:r>
              <w:rPr>
                <w:b/>
              </w:rPr>
              <w:t xml:space="preserve">数值</w:t>
            </w:r>
          </w:p>
        </w:tc>
        <w:tc>
          <w:tcPr>
            <w:tcW w:w="6200" w:type="dxa"/>
            <w:shd w:fill="D9EAF7"/>
            <w:vAlign w:val="center"/>
          </w:tcPr>
          <w:p>
            <w:r>
              <w:rPr>
                <w:b/>
              </w:rPr>
              <w:t xml:space="preserve">含义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a_0</w:t>
            </w:r>
          </w:p>
        </w:tc>
        <w:tc>
          <w:tcPr>
            <w:tcW w:w="1600" w:type="dxa"/>
            <w:vAlign w:val="center"/>
          </w:tcPr>
          <w:p>
            <w:r>
              <w:t xml:space="preserve">0.012</w:t>
            </w:r>
          </w:p>
        </w:tc>
        <w:tc>
          <w:tcPr>
            <w:tcW w:w="6200" w:type="dxa"/>
            <w:vAlign w:val="center"/>
          </w:tcPr>
          <w:p>
            <w:r>
              <w:t xml:space="preserve">小目标面积阈值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r_0</w:t>
            </w:r>
          </w:p>
        </w:tc>
        <w:tc>
          <w:tcPr>
            <w:tcW w:w="1600" w:type="dxa"/>
            <w:vAlign w:val="center"/>
          </w:tcPr>
          <w:p>
            <w:r>
              <w:t xml:space="preserve">3.0</w:t>
            </w:r>
          </w:p>
        </w:tc>
        <w:tc>
          <w:tcPr>
            <w:tcW w:w="6200" w:type="dxa"/>
            <w:vAlign w:val="center"/>
          </w:tcPr>
          <w:p>
            <w:r>
              <w:t xml:space="preserve">细长目标长宽比阈值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α</w:t>
            </w:r>
          </w:p>
        </w:tc>
        <w:tc>
          <w:tcPr>
            <w:tcW w:w="1600" w:type="dxa"/>
            <w:vAlign w:val="center"/>
          </w:tcPr>
          <w:p>
            <w:r>
              <w:t xml:space="preserve">0.35</w:t>
            </w:r>
          </w:p>
        </w:tc>
        <w:tc>
          <w:tcPr>
            <w:tcW w:w="6200" w:type="dxa"/>
            <w:vAlign w:val="center"/>
          </w:tcPr>
          <w:p>
            <w:r>
              <w:t xml:space="preserve">小面积目标增益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β</w:t>
            </w:r>
          </w:p>
        </w:tc>
        <w:tc>
          <w:tcPr>
            <w:tcW w:w="1600" w:type="dxa"/>
            <w:vAlign w:val="center"/>
          </w:tcPr>
          <w:p>
            <w:r>
              <w:t xml:space="preserve">0.25</w:t>
            </w:r>
          </w:p>
        </w:tc>
        <w:tc>
          <w:tcPr>
            <w:tcW w:w="6200" w:type="dxa"/>
            <w:vAlign w:val="center"/>
          </w:tcPr>
          <w:p>
            <w:r>
              <w:t xml:space="preserve">细长目标增益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q_max</w:t>
            </w:r>
          </w:p>
        </w:tc>
        <w:tc>
          <w:tcPr>
            <w:tcW w:w="1600" w:type="dxa"/>
            <w:vAlign w:val="center"/>
          </w:tcPr>
          <w:p>
            <w:r>
              <w:t xml:space="preserve">1.7</w:t>
            </w:r>
          </w:p>
        </w:tc>
        <w:tc>
          <w:tcPr>
            <w:tcW w:w="6200" w:type="dxa"/>
            <w:vAlign w:val="center"/>
          </w:tcPr>
          <w:p>
            <w:r>
              <w:t xml:space="preserve">最大形态权重</w:t>
            </w:r>
          </w:p>
        </w:tc>
      </w:tr>
    </w:tbl>
    <w:p>
      <w:pPr>
        <w:pStyle w:val="Caption"/>
        <w:jc w:val="center"/>
      </w:pPr>
      <w:r>
        <w:t xml:space="preserve">表 3  Shape-Aware Loss 参数设置</w:t>
      </w:r>
    </w:p>
    <w:p>
      <w:pPr>
        <w:pStyle w:val="Heading2"/>
      </w:pPr>
      <w:r>
        <w:t xml:space="preserve">4. 困难样本重加权训练机制</w:t>
      </w:r>
    </w:p>
    <w:p>
      <w:r>
        <w:t xml:space="preserve">困难样本重加权用于改变训练样本的抽样概率。对包含 crack、corrosion 和小目标的图像赋予更高权重，使模型在训练过程中更频繁地学习易漏检样本。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w_i=clip(1.0·3.0^{I[corrosion]}·2.0^{I[crack]}·1.5^{I[small]},0.05,6.0)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p_i=w_i/Σw_j,   E[m_i]=Np_i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2300" w:type="dxa"/>
            <w:shd w:fill="D9EAF7"/>
            <w:vAlign w:val="center"/>
          </w:tcPr>
          <w:p>
            <w:r>
              <w:rPr>
                <w:b/>
              </w:rPr>
              <w:t xml:space="preserve">样本类型</w:t>
            </w:r>
          </w:p>
        </w:tc>
        <w:tc>
          <w:tcPr>
            <w:tcW w:w="5200" w:type="dxa"/>
            <w:shd w:fill="D9EAF7"/>
            <w:vAlign w:val="center"/>
          </w:tcPr>
          <w:p>
            <w:r>
              <w:rPr>
                <w:b/>
              </w:rPr>
              <w:t xml:space="preserve">触发条件</w:t>
            </w:r>
          </w:p>
        </w:tc>
        <w:tc>
          <w:tcPr>
            <w:tcW w:w="1800" w:type="dxa"/>
            <w:shd w:fill="D9EAF7"/>
            <w:vAlign w:val="center"/>
          </w:tcPr>
          <w:p>
            <w:r>
              <w:rPr>
                <w:b/>
              </w:rPr>
              <w:t xml:space="preserve">权重系数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普通样本</w:t>
            </w:r>
          </w:p>
        </w:tc>
        <w:tc>
          <w:tcPr>
            <w:tcW w:w="5200" w:type="dxa"/>
            <w:vAlign w:val="center"/>
          </w:tcPr>
          <w:p>
            <w:r>
              <w:t xml:space="preserve">无困难条件</w:t>
            </w:r>
          </w:p>
        </w:tc>
        <w:tc>
          <w:tcPr>
            <w:tcW w:w="1800" w:type="dxa"/>
            <w:vAlign w:val="center"/>
          </w:tcPr>
          <w:p>
            <w:r>
              <w:t xml:space="preserve">1.0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裂纹样本</w:t>
            </w:r>
          </w:p>
        </w:tc>
        <w:tc>
          <w:tcPr>
            <w:tcW w:w="5200" w:type="dxa"/>
            <w:vAlign w:val="center"/>
          </w:tcPr>
          <w:p>
            <w:r>
              <w:t xml:space="preserve">包含 crack</w:t>
            </w:r>
          </w:p>
        </w:tc>
        <w:tc>
          <w:tcPr>
            <w:tcW w:w="1800" w:type="dxa"/>
            <w:vAlign w:val="center"/>
          </w:tcPr>
          <w:p>
            <w:r>
              <w:t xml:space="preserve">2.0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腐蚀样本</w:t>
            </w:r>
          </w:p>
        </w:tc>
        <w:tc>
          <w:tcPr>
            <w:tcW w:w="5200" w:type="dxa"/>
            <w:vAlign w:val="center"/>
          </w:tcPr>
          <w:p>
            <w:r>
              <w:t xml:space="preserve">包含 corrosion</w:t>
            </w:r>
          </w:p>
        </w:tc>
        <w:tc>
          <w:tcPr>
            <w:tcW w:w="1800" w:type="dxa"/>
            <w:vAlign w:val="center"/>
          </w:tcPr>
          <w:p>
            <w:r>
              <w:t xml:space="preserve">3.0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小目标样本</w:t>
            </w:r>
          </w:p>
        </w:tc>
        <w:tc>
          <w:tcPr>
            <w:tcW w:w="5200" w:type="dxa"/>
            <w:vAlign w:val="center"/>
          </w:tcPr>
          <w:p>
            <w:r>
              <w:t xml:space="preserve">crack/corrosion 且面积占比较小</w:t>
            </w:r>
          </w:p>
        </w:tc>
        <w:tc>
          <w:tcPr>
            <w:tcW w:w="1800" w:type="dxa"/>
            <w:vAlign w:val="center"/>
          </w:tcPr>
          <w:p>
            <w:r>
              <w:t xml:space="preserve">1.5</w:t>
            </w:r>
          </w:p>
        </w:tc>
      </w:tr>
      <w:tr>
        <w:tc>
          <w:tcPr>
            <w:tcW w:w="2300" w:type="dxa"/>
            <w:vAlign w:val="center"/>
          </w:tcPr>
          <w:p>
            <w:r>
              <w:t xml:space="preserve">上限截断</w:t>
            </w:r>
          </w:p>
        </w:tc>
        <w:tc>
          <w:tcPr>
            <w:tcW w:w="5200" w:type="dxa"/>
            <w:vAlign w:val="center"/>
          </w:tcPr>
          <w:p>
            <w:r>
              <w:t xml:space="preserve">多条件叠加超过上限</w:t>
            </w:r>
          </w:p>
        </w:tc>
        <w:tc>
          <w:tcPr>
            <w:tcW w:w="1800" w:type="dxa"/>
            <w:vAlign w:val="center"/>
          </w:tcPr>
          <w:p>
            <w:r>
              <w:t xml:space="preserve">6.0</w:t>
            </w:r>
          </w:p>
        </w:tc>
      </w:tr>
    </w:tbl>
    <w:p>
      <w:pPr>
        <w:pStyle w:val="Caption"/>
        <w:jc w:val="center"/>
      </w:pPr>
      <w:r>
        <w:t xml:space="preserve">表 4  困难样本采样权重设置</w:t>
      </w:r>
    </w:p>
    <w:p>
      <w:pPr>
        <w:pStyle w:val="Heading2"/>
      </w:pPr>
      <w:r>
        <w:t xml:space="preserve">5. Blade-Slice 重叠切片融合推理</w:t>
      </w:r>
    </w:p>
    <w:p>
      <w:r>
        <w:t xml:space="preserve">Blade-Slice 属于推理阶段策略，不写入模型权重。该方法将大图划分为重叠切片，对切片检测框进行坐标回映射后与全图检测结果融合，用于缓解整图缩放导致的小缺陷细节损失。</w:t>
      </w:r>
    </w:p>
    <w:p>
      <w:pPr>
        <w:jc w:val="center"/>
      </w:pPr>
      <w:r>
        <w:drawing>
          <wp:inline distT="0" distB="0" distL="0" distR="0">
            <wp:extent cx="5600000" cy="2572000"/>
            <wp:effectExtent l="0" t="0" r="0" b="0"/>
            <wp:docPr id="45" name="fig_color_4_blade_slice_formula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fig_color_4_blade_slice_formula.sv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6  Blade-Slice 融合推理公式结构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d=floor(L(1-ρ)), L=640, ρ=0.25, d=480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B_fused=NMS(B_full∪B_slice,τ)</w:t>
      </w:r>
    </w:p>
    <w:p>
      <w:pPr>
        <w:pStyle w:val="Heading1"/>
      </w:pPr>
      <w:r>
        <w:t xml:space="preserve">三、数据集构建与预处理</w:t>
      </w:r>
    </w:p>
    <w:p>
      <w:pPr>
        <w:pStyle w:val="Heading2"/>
      </w:pPr>
      <w:r>
        <w:t xml:space="preserve">1. 数据来源与类别映射</w:t>
      </w:r>
    </w:p>
    <w:p>
      <w:r>
        <w:t xml:space="preserve">本文使用 wind_blade_defect_v05_conservative 数据集。该数据集由多来源风机叶片缺陷图像整理得到，并将原始类别统一映射为 crack、hole、spalling 和 corrosion 四类目标。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2200" w:type="dxa"/>
            <w:shd w:fill="D9EAF7"/>
            <w:vAlign w:val="center"/>
          </w:tcPr>
          <w:p>
            <w:r>
              <w:rPr>
                <w:b/>
              </w:rPr>
              <w:t xml:space="preserve">目标类别</w:t>
            </w:r>
          </w:p>
        </w:tc>
        <w:tc>
          <w:tcPr>
            <w:tcW w:w="7800" w:type="dxa"/>
            <w:shd w:fill="D9EAF7"/>
            <w:vAlign w:val="center"/>
          </w:tcPr>
          <w:p>
            <w:r>
              <w:rPr>
                <w:b/>
              </w:rPr>
              <w:t xml:space="preserve">来源类别映射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crack</w:t>
            </w:r>
          </w:p>
        </w:tc>
        <w:tc>
          <w:tcPr>
            <w:tcW w:w="7800" w:type="dxa"/>
            <w:vAlign w:val="center"/>
          </w:tcPr>
          <w:p>
            <w:r>
              <w:t xml:space="preserve">Crack / Scratch / Craze / Hide_craze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corrosion</w:t>
            </w:r>
          </w:p>
        </w:tc>
        <w:tc>
          <w:tcPr>
            <w:tcW w:w="7800" w:type="dxa"/>
            <w:vAlign w:val="center"/>
          </w:tcPr>
          <w:p>
            <w:r>
              <w:t xml:space="preserve">Erosion / Corrosion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spalling</w:t>
            </w:r>
          </w:p>
        </w:tc>
        <w:tc>
          <w:tcPr>
            <w:tcW w:w="7800" w:type="dxa"/>
            <w:vAlign w:val="center"/>
          </w:tcPr>
          <w:p>
            <w:r>
              <w:t xml:space="preserve">Damage / MechanicalDamage / Paintoff / Surface_injure / Chipping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hole</w:t>
            </w:r>
          </w:p>
        </w:tc>
        <w:tc>
          <w:tcPr>
            <w:tcW w:w="7800" w:type="dxa"/>
            <w:vAlign w:val="center"/>
          </w:tcPr>
          <w:p>
            <w:r>
              <w:t xml:space="preserve">Puncture / Hole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negative</w:t>
            </w:r>
          </w:p>
        </w:tc>
        <w:tc>
          <w:tcPr>
            <w:tcW w:w="7800" w:type="dxa"/>
            <w:vAlign w:val="center"/>
          </w:tcPr>
          <w:p>
            <w:r>
              <w:t xml:space="preserve">Good / Dirt-only 等空标注背景图</w:t>
            </w:r>
          </w:p>
        </w:tc>
      </w:tr>
    </w:tbl>
    <w:p>
      <w:pPr>
        <w:pStyle w:val="Caption"/>
        <w:jc w:val="center"/>
      </w:pPr>
      <w:r>
        <w:t xml:space="preserve">表 5  缺陷类别映射关系</w:t>
      </w:r>
    </w:p>
    <w:p>
      <w:pPr>
        <w:pStyle w:val="Heading2"/>
      </w:pPr>
      <w:r>
        <w:t xml:space="preserve">2. 数据划分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1800" w:type="dxa"/>
            <w:shd w:fill="D9EAF7"/>
            <w:vAlign w:val="center"/>
          </w:tcPr>
          <w:p>
            <w:r>
              <w:rPr>
                <w:b/>
              </w:rPr>
              <w:t xml:space="preserve">Split</w:t>
            </w:r>
          </w:p>
        </w:tc>
        <w:tc>
          <w:tcPr>
            <w:tcW w:w="1800" w:type="dxa"/>
            <w:shd w:fill="D9EAF7"/>
            <w:vAlign w:val="center"/>
          </w:tcPr>
          <w:p>
            <w:r>
              <w:rPr>
                <w:b/>
              </w:rPr>
              <w:t xml:space="preserve">图像数量</w:t>
            </w:r>
          </w:p>
        </w:tc>
        <w:tc>
          <w:tcPr>
            <w:tcW w:w="2200" w:type="dxa"/>
            <w:shd w:fill="D9EAF7"/>
            <w:vAlign w:val="center"/>
          </w:tcPr>
          <w:p>
            <w:r>
              <w:rPr>
                <w:b/>
              </w:rPr>
              <w:t xml:space="preserve">空标注图像数量</w:t>
            </w:r>
          </w:p>
        </w:tc>
        <w:tc>
          <w:tcPr>
            <w:tcW w:w="4600" w:type="dxa"/>
            <w:shd w:fill="D9EAF7"/>
            <w:vAlign w:val="center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train</w:t>
            </w:r>
          </w:p>
        </w:tc>
        <w:tc>
          <w:tcPr>
            <w:tcW w:w="1800" w:type="dxa"/>
            <w:vAlign w:val="center"/>
          </w:tcPr>
          <w:p>
            <w:r>
              <w:t xml:space="preserve">9136</w:t>
            </w:r>
          </w:p>
        </w:tc>
        <w:tc>
          <w:tcPr>
            <w:tcW w:w="2200" w:type="dxa"/>
            <w:vAlign w:val="center"/>
          </w:tcPr>
          <w:p>
            <w:r>
              <w:t xml:space="preserve">786</w:t>
            </w:r>
          </w:p>
        </w:tc>
        <w:tc>
          <w:tcPr>
            <w:tcW w:w="4600" w:type="dxa"/>
            <w:vAlign w:val="center"/>
          </w:tcPr>
          <w:p>
            <w:r>
              <w:t xml:space="preserve">模型训练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val</w:t>
            </w:r>
          </w:p>
        </w:tc>
        <w:tc>
          <w:tcPr>
            <w:tcW w:w="1800" w:type="dxa"/>
            <w:vAlign w:val="center"/>
          </w:tcPr>
          <w:p>
            <w:r>
              <w:t xml:space="preserve">571</w:t>
            </w:r>
          </w:p>
        </w:tc>
        <w:tc>
          <w:tcPr>
            <w:tcW w:w="2200" w:type="dxa"/>
            <w:vAlign w:val="center"/>
          </w:tcPr>
          <w:p>
            <w:r>
              <w:t xml:space="preserve">17</w:t>
            </w:r>
          </w:p>
        </w:tc>
        <w:tc>
          <w:tcPr>
            <w:tcW w:w="4600" w:type="dxa"/>
            <w:vAlign w:val="center"/>
          </w:tcPr>
          <w:p>
            <w:r>
              <w:t xml:space="preserve">验证集评估</w:t>
            </w:r>
          </w:p>
        </w:tc>
      </w:tr>
      <w:tr>
        <w:tc>
          <w:tcPr>
            <w:tcW w:w="1800" w:type="dxa"/>
            <w:vAlign w:val="center"/>
          </w:tcPr>
          <w:p>
            <w:r>
              <w:t xml:space="preserve">test_clean</w:t>
            </w:r>
          </w:p>
        </w:tc>
        <w:tc>
          <w:tcPr>
            <w:tcW w:w="1800" w:type="dxa"/>
            <w:vAlign w:val="center"/>
          </w:tcPr>
          <w:p>
            <w:r>
              <w:t xml:space="preserve">543</w:t>
            </w:r>
          </w:p>
        </w:tc>
        <w:tc>
          <w:tcPr>
            <w:tcW w:w="2200" w:type="dxa"/>
            <w:vAlign w:val="center"/>
          </w:tcPr>
          <w:p>
            <w:r>
              <w:t xml:space="preserve">18</w:t>
            </w:r>
          </w:p>
        </w:tc>
        <w:tc>
          <w:tcPr>
            <w:tcW w:w="4600" w:type="dxa"/>
            <w:vAlign w:val="center"/>
          </w:tcPr>
          <w:p>
            <w:r>
              <w:t xml:space="preserve">干净测试集评估</w:t>
            </w:r>
          </w:p>
        </w:tc>
      </w:tr>
    </w:tbl>
    <w:p>
      <w:pPr>
        <w:pStyle w:val="Caption"/>
        <w:jc w:val="center"/>
      </w:pPr>
      <w:r>
        <w:t xml:space="preserve">表 6  数据集划分统计</w:t>
      </w:r>
    </w:p>
    <w:p>
      <w:r>
        <w:t xml:space="preserve">训练阶段使用 1024 输入尺寸，并结合 mosaic、multi-scale、copy-paste、scale 和水平翻转等增强方式提高模型对尺度变化和复杂背景的适应能力。空标注背景图用于评估模型在无缺陷场景中的误检风险。</w:t>
      </w:r>
    </w:p>
    <w:p>
      <w:pPr>
        <w:pStyle w:val="Heading1"/>
      </w:pPr>
      <w:r>
        <w:t xml:space="preserve">四、实验结果与分析设计</w:t>
      </w:r>
    </w:p>
    <w:p>
      <w:pPr>
        <w:pStyle w:val="Heading2"/>
      </w:pPr>
      <w:r>
        <w:t xml:space="preserve">1. 实验环境与训练参数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2800" w:type="dxa"/>
            <w:shd w:fill="D9EAF7"/>
            <w:vAlign w:val="center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7200" w:type="dxa"/>
            <w:shd w:fill="D9EAF7"/>
            <w:vAlign w:val="center"/>
          </w:tcPr>
          <w:p>
            <w:r>
              <w:rPr>
                <w:b/>
              </w:rPr>
              <w:t xml:space="preserve">设置</w:t>
            </w:r>
          </w:p>
        </w:tc>
      </w:tr>
      <w:tr>
        <w:tc>
          <w:tcPr>
            <w:tcW w:w="2800" w:type="dxa"/>
            <w:vAlign w:val="center"/>
          </w:tcPr>
          <w:p>
            <w:r>
              <w:t xml:space="preserve">操作系统</w:t>
            </w:r>
          </w:p>
        </w:tc>
        <w:tc>
          <w:tcPr>
            <w:tcW w:w="7200" w:type="dxa"/>
            <w:vAlign w:val="center"/>
          </w:tcPr>
          <w:p>
            <w:r>
              <w:t xml:space="preserve">Windows 平台</w:t>
            </w:r>
          </w:p>
        </w:tc>
      </w:tr>
      <w:tr>
        <w:tc>
          <w:tcPr>
            <w:tcW w:w="2800" w:type="dxa"/>
            <w:vAlign w:val="center"/>
          </w:tcPr>
          <w:p>
            <w:r>
              <w:t xml:space="preserve">深度学习框架</w:t>
            </w:r>
          </w:p>
        </w:tc>
        <w:tc>
          <w:tcPr>
            <w:tcW w:w="7200" w:type="dxa"/>
            <w:vAlign w:val="center"/>
          </w:tcPr>
          <w:p>
            <w:r>
              <w:t xml:space="preserve">PyTorch / Ultralytics YOLO</w:t>
            </w:r>
          </w:p>
        </w:tc>
      </w:tr>
      <w:tr>
        <w:tc>
          <w:tcPr>
            <w:tcW w:w="2800" w:type="dxa"/>
            <w:vAlign w:val="center"/>
          </w:tcPr>
          <w:p>
            <w:r>
              <w:t xml:space="preserve">Python 版本</w:t>
            </w:r>
          </w:p>
        </w:tc>
        <w:tc>
          <w:tcPr>
            <w:tcW w:w="7200" w:type="dxa"/>
            <w:vAlign w:val="center"/>
          </w:tcPr>
          <w:p>
            <w:r>
              <w:t xml:space="preserve">&gt;=3.10</w:t>
            </w:r>
          </w:p>
        </w:tc>
      </w:tr>
      <w:tr>
        <w:tc>
          <w:tcPr>
            <w:tcW w:w="2800" w:type="dxa"/>
            <w:vAlign w:val="center"/>
          </w:tcPr>
          <w:p>
            <w:r>
              <w:t xml:space="preserve">输入尺寸</w:t>
            </w:r>
          </w:p>
        </w:tc>
        <w:tc>
          <w:tcPr>
            <w:tcW w:w="7200" w:type="dxa"/>
            <w:vAlign w:val="center"/>
          </w:tcPr>
          <w:p>
            <w:r>
              <w:t xml:space="preserve">1024 × 1024</w:t>
            </w:r>
          </w:p>
        </w:tc>
      </w:tr>
      <w:tr>
        <w:tc>
          <w:tcPr>
            <w:tcW w:w="2800" w:type="dxa"/>
            <w:vAlign w:val="center"/>
          </w:tcPr>
          <w:p>
            <w:r>
              <w:t xml:space="preserve">优化器</w:t>
            </w:r>
          </w:p>
        </w:tc>
        <w:tc>
          <w:tcPr>
            <w:tcW w:w="7200" w:type="dxa"/>
            <w:vAlign w:val="center"/>
          </w:tcPr>
          <w:p>
            <w:r>
              <w:t xml:space="preserve">AdamW</w:t>
            </w:r>
          </w:p>
        </w:tc>
      </w:tr>
      <w:tr>
        <w:tc>
          <w:tcPr>
            <w:tcW w:w="2800" w:type="dxa"/>
            <w:vAlign w:val="center"/>
          </w:tcPr>
          <w:p>
            <w:r>
              <w:t xml:space="preserve">基础学习率</w:t>
            </w:r>
          </w:p>
        </w:tc>
        <w:tc>
          <w:tcPr>
            <w:tcW w:w="7200" w:type="dxa"/>
            <w:vAlign w:val="center"/>
          </w:tcPr>
          <w:p>
            <w:r>
              <w:t xml:space="preserve">根据实验组设置，典型值 0.00018-0.0005</w:t>
            </w:r>
          </w:p>
        </w:tc>
      </w:tr>
      <w:tr>
        <w:tc>
          <w:tcPr>
            <w:tcW w:w="2800" w:type="dxa"/>
            <w:vAlign w:val="center"/>
          </w:tcPr>
          <w:p>
            <w:r>
              <w:t xml:space="preserve">评价数据</w:t>
            </w:r>
          </w:p>
        </w:tc>
        <w:tc>
          <w:tcPr>
            <w:tcW w:w="7200" w:type="dxa"/>
            <w:vAlign w:val="center"/>
          </w:tcPr>
          <w:p>
            <w:r>
              <w:t xml:space="preserve">val、test_clean 和空标注背景图</w:t>
            </w:r>
          </w:p>
        </w:tc>
      </w:tr>
      <w:tr>
        <w:tc>
          <w:tcPr>
            <w:tcW w:w="2800" w:type="dxa"/>
            <w:vAlign w:val="center"/>
          </w:tcPr>
          <w:p>
            <w:r>
              <w:t xml:space="preserve">待补充项</w:t>
            </w:r>
          </w:p>
        </w:tc>
        <w:tc>
          <w:tcPr>
            <w:tcW w:w="7200" w:type="dxa"/>
            <w:vAlign w:val="center"/>
          </w:tcPr>
          <w:p>
            <w:r>
              <w:t xml:space="preserve">GPU 型号、CUDA 版本、PyTorch 版本、最终训练 epoch</w:t>
            </w:r>
          </w:p>
        </w:tc>
      </w:tr>
    </w:tbl>
    <w:p>
      <w:pPr>
        <w:pStyle w:val="Caption"/>
        <w:jc w:val="center"/>
      </w:pPr>
      <w:r>
        <w:t xml:space="preserve">表 7  实验环境与训练参数</w:t>
      </w:r>
    </w:p>
    <w:p>
      <w:pPr>
        <w:pStyle w:val="Heading2"/>
      </w:pPr>
      <w:r>
        <w:t xml:space="preserve">2. 评价指标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Precision=TP/(TP+FP),   Recall=TP/(TP+FN)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mAP50-95=(1/10)Σ_{τ=0.50:0.05:0.95}mAP_τ</w:t>
      </w:r>
    </w:p>
    <w:p>
      <w:pPr>
        <w:pStyle w:val="Formula"/>
        <w:jc w:val="center"/>
      </w:pPr>
      <w:r>
        <w:rPr>
          <w:rFonts w:ascii="Cambria Math" w:hAnsi="Cambria Math" w:eastAsia="Cambria Math"/>
          <w:sz w:val="21"/>
        </w:rPr>
        <w:t xml:space="preserve">FP_bg=Σ_{I_i∈D_empty}|{b∈f_θ(I_i):conf(b)≥η}|</w:t>
      </w:r>
    </w:p>
    <w:p>
      <w:r>
        <w:t xml:space="preserve">除 Precision、Recall、mAP50 和 mAP50-95 外，本文单独统计背景空标注图的误检数 FP_bg，用于判断召回提升是否以误检增加为代价。</w:t>
      </w:r>
    </w:p>
    <w:p>
      <w:pPr>
        <w:pStyle w:val="Heading2"/>
      </w:pPr>
      <w:r>
        <w:t xml:space="preserve">3. 消融实验设计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800" w:type="dxa"/>
            <w:shd w:fill="D9EAF7"/>
            <w:vAlign w:val="center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tcW w:w="3100" w:type="dxa"/>
            <w:shd w:fill="D9EAF7"/>
            <w:vAlign w:val="center"/>
          </w:tcPr>
          <w:p>
            <w:r>
              <w:rPr>
                <w:b/>
              </w:rPr>
              <w:t xml:space="preserve">模型设置</w:t>
            </w:r>
          </w:p>
        </w:tc>
        <w:tc>
          <w:tcPr>
            <w:tcW w:w="700" w:type="dxa"/>
            <w:shd w:fill="D9EAF7"/>
            <w:vAlign w:val="center"/>
          </w:tcPr>
          <w:p>
            <w:r>
              <w:rPr>
                <w:b/>
              </w:rPr>
              <w:t xml:space="preserve">P2</w:t>
            </w:r>
          </w:p>
        </w:tc>
        <w:tc>
          <w:tcPr>
            <w:tcW w:w="1300" w:type="dxa"/>
            <w:shd w:fill="D9EAF7"/>
            <w:vAlign w:val="center"/>
          </w:tcPr>
          <w:p>
            <w:r>
              <w:rPr>
                <w:b/>
              </w:rPr>
              <w:t xml:space="preserve">Shape Loss</w:t>
            </w:r>
          </w:p>
        </w:tc>
        <w:tc>
          <w:tcPr>
            <w:tcW w:w="1500" w:type="dxa"/>
            <w:shd w:fill="D9EAF7"/>
            <w:vAlign w:val="center"/>
          </w:tcPr>
          <w:p>
            <w:r>
              <w:rPr>
                <w:b/>
              </w:rPr>
              <w:t xml:space="preserve">Hard Sampling</w:t>
            </w:r>
          </w:p>
        </w:tc>
        <w:tc>
          <w:tcPr>
            <w:tcW w:w="1300" w:type="dxa"/>
            <w:shd w:fill="D9EAF7"/>
            <w:vAlign w:val="center"/>
          </w:tcPr>
          <w:p>
            <w:r>
              <w:rPr>
                <w:b/>
              </w:rPr>
              <w:t xml:space="preserve">Blade-Slice</w:t>
            </w:r>
          </w:p>
        </w:tc>
        <w:tc>
          <w:tcPr>
            <w:tcW w:w="1200" w:type="dxa"/>
            <w:shd w:fill="D9EAF7"/>
            <w:vAlign w:val="center"/>
          </w:tcPr>
          <w:p>
            <w:r>
              <w:rPr>
                <w:b/>
              </w:rPr>
              <w:t xml:space="preserve">Precision</w:t>
            </w:r>
          </w:p>
        </w:tc>
        <w:tc>
          <w:tcPr>
            <w:tcW w:w="1200" w:type="dxa"/>
            <w:shd w:fill="D9EAF7"/>
            <w:vAlign w:val="center"/>
          </w:tcPr>
          <w:p>
            <w:r>
              <w:rPr>
                <w:b/>
              </w:rPr>
              <w:t xml:space="preserve">Recall</w:t>
            </w:r>
          </w:p>
        </w:tc>
        <w:tc>
          <w:tcPr>
            <w:tcW w:w="1400" w:type="dxa"/>
            <w:shd w:fill="D9EAF7"/>
            <w:vAlign w:val="center"/>
          </w:tcPr>
          <w:p>
            <w:r>
              <w:rPr>
                <w:b/>
              </w:rPr>
              <w:t xml:space="preserve">mAP50-95</w:t>
            </w:r>
          </w:p>
        </w:tc>
        <w:tc>
          <w:tcPr>
            <w:tcW w:w="1000" w:type="dxa"/>
            <w:shd w:fill="D9EAF7"/>
            <w:vAlign w:val="center"/>
          </w:tcPr>
          <w:p>
            <w:r>
              <w:rPr>
                <w:b/>
              </w:rPr>
              <w:t xml:space="preserve">FP_bg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A0</w:t>
            </w:r>
          </w:p>
        </w:tc>
        <w:tc>
          <w:tcPr>
            <w:tcW w:w="3100" w:type="dxa"/>
            <w:vAlign w:val="center"/>
          </w:tcPr>
          <w:p>
            <w:r>
              <w:t xml:space="preserve">YOLO baseline</w:t>
            </w:r>
          </w:p>
        </w:tc>
        <w:tc>
          <w:tcPr>
            <w:tcW w:w="700" w:type="dxa"/>
            <w:vAlign w:val="center"/>
          </w:tcPr>
          <w:p>
            <w:r>
              <w:t xml:space="preserve">—</w:t>
            </w:r>
          </w:p>
        </w:tc>
        <w:tc>
          <w:tcPr>
            <w:tcW w:w="1300" w:type="dxa"/>
            <w:vAlign w:val="center"/>
          </w:tcPr>
          <w:p>
            <w:r>
              <w:t xml:space="preserve">—</w:t>
            </w:r>
          </w:p>
        </w:tc>
        <w:tc>
          <w:tcPr>
            <w:tcW w:w="1500" w:type="dxa"/>
            <w:vAlign w:val="center"/>
          </w:tcPr>
          <w:p>
            <w:r>
              <w:t xml:space="preserve">—</w:t>
            </w:r>
          </w:p>
        </w:tc>
        <w:tc>
          <w:tcPr>
            <w:tcW w:w="1300" w:type="dxa"/>
            <w:vAlign w:val="center"/>
          </w:tcPr>
          <w:p>
            <w:r>
              <w:t xml:space="preserve">—</w:t>
            </w:r>
          </w:p>
        </w:tc>
        <w:tc>
          <w:tcPr>
            <w:tcW w:w="1200" w:type="dxa"/>
            <w:vAlign w:val="center"/>
          </w:tcPr>
          <w:p>
            <w:r>
              <w:t xml:space="preserve">待补充</w:t>
            </w:r>
          </w:p>
        </w:tc>
        <w:tc>
          <w:tcPr>
            <w:tcW w:w="12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000" w:type="dxa"/>
            <w:vAlign w:val="center"/>
          </w:tcPr>
          <w:p>
            <w:r>
              <w:t xml:space="preserve">待补充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A1</w:t>
            </w:r>
          </w:p>
        </w:tc>
        <w:tc>
          <w:tcPr>
            <w:tcW w:w="3100" w:type="dxa"/>
            <w:vAlign w:val="center"/>
          </w:tcPr>
          <w:p>
            <w:r>
              <w:t xml:space="preserve">YOLO + P2</w:t>
            </w:r>
          </w:p>
        </w:tc>
        <w:tc>
          <w:tcPr>
            <w:tcW w:w="7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—</w:t>
            </w:r>
          </w:p>
        </w:tc>
        <w:tc>
          <w:tcPr>
            <w:tcW w:w="1500" w:type="dxa"/>
            <w:vAlign w:val="center"/>
          </w:tcPr>
          <w:p>
            <w:r>
              <w:t xml:space="preserve">—</w:t>
            </w:r>
          </w:p>
        </w:tc>
        <w:tc>
          <w:tcPr>
            <w:tcW w:w="1300" w:type="dxa"/>
            <w:vAlign w:val="center"/>
          </w:tcPr>
          <w:p>
            <w:r>
              <w:t xml:space="preserve">—</w:t>
            </w:r>
          </w:p>
        </w:tc>
        <w:tc>
          <w:tcPr>
            <w:tcW w:w="1200" w:type="dxa"/>
            <w:vAlign w:val="center"/>
          </w:tcPr>
          <w:p>
            <w:r>
              <w:t xml:space="preserve">待补充</w:t>
            </w:r>
          </w:p>
        </w:tc>
        <w:tc>
          <w:tcPr>
            <w:tcW w:w="12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000" w:type="dxa"/>
            <w:vAlign w:val="center"/>
          </w:tcPr>
          <w:p>
            <w:r>
              <w:t xml:space="preserve">待补充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A2</w:t>
            </w:r>
          </w:p>
        </w:tc>
        <w:tc>
          <w:tcPr>
            <w:tcW w:w="3100" w:type="dxa"/>
            <w:vAlign w:val="center"/>
          </w:tcPr>
          <w:p>
            <w:r>
              <w:t xml:space="preserve">YOLO + P2 + Shape</w:t>
            </w:r>
          </w:p>
        </w:tc>
        <w:tc>
          <w:tcPr>
            <w:tcW w:w="7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√</w:t>
            </w:r>
          </w:p>
        </w:tc>
        <w:tc>
          <w:tcPr>
            <w:tcW w:w="1500" w:type="dxa"/>
            <w:vAlign w:val="center"/>
          </w:tcPr>
          <w:p>
            <w:r>
              <w:t xml:space="preserve">—</w:t>
            </w:r>
          </w:p>
        </w:tc>
        <w:tc>
          <w:tcPr>
            <w:tcW w:w="1300" w:type="dxa"/>
            <w:vAlign w:val="center"/>
          </w:tcPr>
          <w:p>
            <w:r>
              <w:t xml:space="preserve">—</w:t>
            </w:r>
          </w:p>
        </w:tc>
        <w:tc>
          <w:tcPr>
            <w:tcW w:w="1200" w:type="dxa"/>
            <w:vAlign w:val="center"/>
          </w:tcPr>
          <w:p>
            <w:r>
              <w:t xml:space="preserve">待补充</w:t>
            </w:r>
          </w:p>
        </w:tc>
        <w:tc>
          <w:tcPr>
            <w:tcW w:w="12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000" w:type="dxa"/>
            <w:vAlign w:val="center"/>
          </w:tcPr>
          <w:p>
            <w:r>
              <w:t xml:space="preserve">待补充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A3</w:t>
            </w:r>
          </w:p>
        </w:tc>
        <w:tc>
          <w:tcPr>
            <w:tcW w:w="3100" w:type="dxa"/>
            <w:vAlign w:val="center"/>
          </w:tcPr>
          <w:p>
            <w:r>
              <w:t xml:space="preserve">YOLO + P2 + Shape + Hard</w:t>
            </w:r>
          </w:p>
        </w:tc>
        <w:tc>
          <w:tcPr>
            <w:tcW w:w="7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√</w:t>
            </w:r>
          </w:p>
        </w:tc>
        <w:tc>
          <w:tcPr>
            <w:tcW w:w="15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—</w:t>
            </w:r>
          </w:p>
        </w:tc>
        <w:tc>
          <w:tcPr>
            <w:tcW w:w="1200" w:type="dxa"/>
            <w:vAlign w:val="center"/>
          </w:tcPr>
          <w:p>
            <w:r>
              <w:t xml:space="preserve">待补充</w:t>
            </w:r>
          </w:p>
        </w:tc>
        <w:tc>
          <w:tcPr>
            <w:tcW w:w="12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000" w:type="dxa"/>
            <w:vAlign w:val="center"/>
          </w:tcPr>
          <w:p>
            <w:r>
              <w:t xml:space="preserve">待补充</w:t>
            </w:r>
          </w:p>
        </w:tc>
      </w:tr>
      <w:tr>
        <w:tc>
          <w:tcPr>
            <w:tcW w:w="800" w:type="dxa"/>
            <w:vAlign w:val="center"/>
          </w:tcPr>
          <w:p>
            <w:r>
              <w:t xml:space="preserve">A4</w:t>
            </w:r>
          </w:p>
        </w:tc>
        <w:tc>
          <w:tcPr>
            <w:tcW w:w="3100" w:type="dxa"/>
            <w:vAlign w:val="center"/>
          </w:tcPr>
          <w:p>
            <w:r>
              <w:t xml:space="preserve">YOLO + P2 + Shape + Hard + Slice</w:t>
            </w:r>
          </w:p>
        </w:tc>
        <w:tc>
          <w:tcPr>
            <w:tcW w:w="7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√</w:t>
            </w:r>
          </w:p>
        </w:tc>
        <w:tc>
          <w:tcPr>
            <w:tcW w:w="1500" w:type="dxa"/>
            <w:vAlign w:val="center"/>
          </w:tcPr>
          <w:p>
            <w:r>
              <w:t xml:space="preserve">√</w:t>
            </w:r>
          </w:p>
        </w:tc>
        <w:tc>
          <w:tcPr>
            <w:tcW w:w="1300" w:type="dxa"/>
            <w:vAlign w:val="center"/>
          </w:tcPr>
          <w:p>
            <w:r>
              <w:t xml:space="preserve">√</w:t>
            </w:r>
          </w:p>
        </w:tc>
        <w:tc>
          <w:tcPr>
            <w:tcW w:w="1200" w:type="dxa"/>
            <w:vAlign w:val="center"/>
          </w:tcPr>
          <w:p>
            <w:r>
              <w:t xml:space="preserve">待补充</w:t>
            </w:r>
          </w:p>
        </w:tc>
        <w:tc>
          <w:tcPr>
            <w:tcW w:w="12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000" w:type="dxa"/>
            <w:vAlign w:val="center"/>
          </w:tcPr>
          <w:p>
            <w:r>
              <w:t xml:space="preserve">待补充</w:t>
            </w:r>
          </w:p>
        </w:tc>
      </w:tr>
    </w:tbl>
    <w:p>
      <w:pPr>
        <w:pStyle w:val="Caption"/>
        <w:jc w:val="center"/>
      </w:pPr>
      <w:r>
        <w:t xml:space="preserve">表 8  MSF-YOLO 消融实验设计表</w:t>
      </w:r>
    </w:p>
    <w:p>
      <w:pPr>
        <w:pStyle w:val="Heading2"/>
      </w:pPr>
      <w:r>
        <w:t xml:space="preserve">4. 对比实验设计</w:t>
      </w:r>
    </w:p>
    <w:tbl>
      <w:tblPr>
        <w:tblStyle w:val="TableGrid"/>
        <w:tblW w:w="5000" w:type="pct"/>
        <w:tblLook w:val="04A0"/>
        <w:tblBorders>
          <w:top w:val="single" w:sz="8" w:space="0" w:color="6C7A89"/>
          <w:left w:val="single" w:sz="8" w:space="0" w:color="6C7A89"/>
          <w:bottom w:val="single" w:sz="8" w:space="0" w:color="6C7A89"/>
          <w:right w:val="single" w:sz="8" w:space="0" w:color="6C7A89"/>
          <w:insideH w:val="single" w:sz="6" w:space="0" w:color="BFC9CA"/>
          <w:insideV w:val="single" w:sz="6" w:space="0" w:color="BFC9CA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tcW w:w="2200" w:type="dxa"/>
            <w:shd w:fill="D9EAF7"/>
            <w:vAlign w:val="center"/>
          </w:tcPr>
          <w:p>
            <w:r>
              <w:rPr>
                <w:b/>
              </w:rPr>
              <w:t xml:space="preserve">模型</w:t>
            </w:r>
          </w:p>
        </w:tc>
        <w:tc>
          <w:tcPr>
            <w:tcW w:w="1300" w:type="dxa"/>
            <w:shd w:fill="D9EAF7"/>
            <w:vAlign w:val="center"/>
          </w:tcPr>
          <w:p>
            <w:r>
              <w:rPr>
                <w:b/>
              </w:rPr>
              <w:t xml:space="preserve">Precision</w:t>
            </w:r>
          </w:p>
        </w:tc>
        <w:tc>
          <w:tcPr>
            <w:tcW w:w="1300" w:type="dxa"/>
            <w:shd w:fill="D9EAF7"/>
            <w:vAlign w:val="center"/>
          </w:tcPr>
          <w:p>
            <w:r>
              <w:rPr>
                <w:b/>
              </w:rPr>
              <w:t xml:space="preserve">Recall</w:t>
            </w:r>
          </w:p>
        </w:tc>
        <w:tc>
          <w:tcPr>
            <w:tcW w:w="1300" w:type="dxa"/>
            <w:shd w:fill="D9EAF7"/>
            <w:vAlign w:val="center"/>
          </w:tcPr>
          <w:p>
            <w:r>
              <w:rPr>
                <w:b/>
              </w:rPr>
              <w:t xml:space="preserve">mAP50</w:t>
            </w:r>
          </w:p>
        </w:tc>
        <w:tc>
          <w:tcPr>
            <w:tcW w:w="1500" w:type="dxa"/>
            <w:shd w:fill="D9EAF7"/>
            <w:vAlign w:val="center"/>
          </w:tcPr>
          <w:p>
            <w:r>
              <w:rPr>
                <w:b/>
              </w:rPr>
              <w:t xml:space="preserve">mAP50-95</w:t>
            </w:r>
          </w:p>
        </w:tc>
        <w:tc>
          <w:tcPr>
            <w:tcW w:w="1400" w:type="dxa"/>
            <w:shd w:fill="D9EAF7"/>
            <w:vAlign w:val="center"/>
          </w:tcPr>
          <w:p>
            <w:r>
              <w:rPr>
                <w:b/>
              </w:rPr>
              <w:t xml:space="preserve">Params(M)</w:t>
            </w:r>
          </w:p>
        </w:tc>
        <w:tc>
          <w:tcPr>
            <w:tcW w:w="1400" w:type="dxa"/>
            <w:shd w:fill="D9EAF7"/>
            <w:vAlign w:val="center"/>
          </w:tcPr>
          <w:p>
            <w:r>
              <w:rPr>
                <w:b/>
              </w:rPr>
              <w:t xml:space="preserve">FLOPs(G)</w:t>
            </w:r>
          </w:p>
        </w:tc>
        <w:tc>
          <w:tcPr>
            <w:tcW w:w="1100" w:type="dxa"/>
            <w:shd w:fill="D9EAF7"/>
            <w:vAlign w:val="center"/>
          </w:tcPr>
          <w:p>
            <w:r>
              <w:rPr>
                <w:b/>
              </w:rPr>
              <w:t xml:space="preserve">FP_bg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YOLO baseline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5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100" w:type="dxa"/>
            <w:vAlign w:val="center"/>
          </w:tcPr>
          <w:p>
            <w:r>
              <w:t xml:space="preserve">待补充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V4 stable baseline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5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100" w:type="dxa"/>
            <w:vAlign w:val="center"/>
          </w:tcPr>
          <w:p>
            <w:r>
              <w:t xml:space="preserve">待补充</w:t>
            </w:r>
          </w:p>
        </w:tc>
      </w:tr>
      <w:tr>
        <w:tc>
          <w:tcPr>
            <w:tcW w:w="2200" w:type="dxa"/>
            <w:vAlign w:val="center"/>
          </w:tcPr>
          <w:p>
            <w:r>
              <w:t xml:space="preserve">MSF-YOLO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300" w:type="dxa"/>
            <w:vAlign w:val="center"/>
          </w:tcPr>
          <w:p>
            <w:r>
              <w:t xml:space="preserve">待补充</w:t>
            </w:r>
          </w:p>
        </w:tc>
        <w:tc>
          <w:tcPr>
            <w:tcW w:w="15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400" w:type="dxa"/>
            <w:vAlign w:val="center"/>
          </w:tcPr>
          <w:p>
            <w:r>
              <w:t xml:space="preserve">待补充</w:t>
            </w:r>
          </w:p>
        </w:tc>
        <w:tc>
          <w:tcPr>
            <w:tcW w:w="1100" w:type="dxa"/>
            <w:vAlign w:val="center"/>
          </w:tcPr>
          <w:p>
            <w:r>
              <w:t xml:space="preserve">待补充</w:t>
            </w:r>
          </w:p>
        </w:tc>
      </w:tr>
    </w:tbl>
    <w:p>
      <w:pPr>
        <w:pStyle w:val="Caption"/>
        <w:jc w:val="center"/>
      </w:pPr>
      <w:r>
        <w:t xml:space="preserve">表 9  不同算法对比实验表</w:t>
      </w:r>
    </w:p>
    <w:p>
      <w:pPr>
        <w:pStyle w:val="Heading2"/>
      </w:pPr>
      <w:r>
        <w:t xml:space="preserve">5. 可视化与错误分析</w:t>
      </w:r>
    </w:p>
    <w:p>
      <w:r>
        <w:t xml:space="preserve">实验完成后，应选取典型裂纹、孔洞、剥落、腐蚀样本以及背景误检样本，分别展示 baseline 与 MSF-YOLO 的检测结果。可视化分析应同时包含成功案例和失败案例，重点说明小目标召回、低置信度样本和背景误检变化。</w:t>
      </w:r>
    </w:p>
    <w:p>
      <w:pPr>
        <w:pStyle w:val="Heading1"/>
      </w:pPr>
      <w:r>
        <w:t xml:space="preserve">五、总结与展望</w:t>
      </w:r>
    </w:p>
    <w:p>
      <w:r>
        <w:t xml:space="preserve">本文构建了面向风机叶片缺陷检测的 MSF-YOLO 完整技术框架。该方法从网络结构、损失函数、训练采样和推理策略四个层面对小尺度异形缺陷检测进行改进。后续将根据完整消融结果，进一步判断各模块对 Precision、Recall、mAP50-95、分类别指标和背景误检的实际贡献。若实验表明部分模块只在特定类别或特定场景有效，论文结论将明确限定其适用范围。</w:t>
      </w:r>
    </w:p>
    <w:p>
      <w:pPr>
        <w:pStyle w:val="Heading1"/>
      </w:pPr>
      <w:r>
        <w:t xml:space="preserve">参考文献框架</w:t>
      </w:r>
    </w:p>
    <w:p>
      <w:r>
        <w:t xml:space="preserve">[1] Redmon J, Divvala S, Girshick R, Farhadi A. You Only Look Once: Unified, Real-Time Object Detection.</w:t>
      </w:r>
    </w:p>
    <w:p>
      <w:r>
        <w:t xml:space="preserve">[2] Bochkovskiy A, Wang C Y, Liao H Y M. YOLOv4: Optimal Speed and Accuracy of Object Detection.</w:t>
      </w:r>
    </w:p>
    <w:p>
      <w:r>
        <w:t xml:space="preserve">[3] Jocher G, Chaurasia A, Qiu J. Ultralytics YOLOv8 documentation and implementation.</w:t>
      </w:r>
    </w:p>
    <w:p>
      <w:r>
        <w:t xml:space="preserve">[4] Lin T Y, Dollár P, Girshick R, et al. Feature Pyramid Networks for Object Detection.</w:t>
      </w:r>
    </w:p>
    <w:p>
      <w:r>
        <w:t xml:space="preserve">[5] Liu S, Qi L, Qin H, et al. Path Aggregation Network for Instance Segmentation.</w:t>
      </w:r>
    </w:p>
    <w:p>
      <w:r>
        <w:t xml:space="preserve">[6] Tan M, Pang R, Le Q V. EfficientDet: Scalable and Efficient Object Detection.</w:t>
      </w:r>
    </w:p>
    <w:p>
      <w:r>
        <w:t xml:space="preserve">[7] Lin T Y, Goyal P, Girshick R, et al. Focal Loss for Dense Object Detection.</w:t>
      </w:r>
    </w:p>
    <w:p>
      <w:r>
        <w:t xml:space="preserve">[8] Zheng Z, Wang P, Liu W, et al. Distance-IoU Loss: Faster and Better Learning for Bounding Box Regression.</w:t>
      </w:r>
    </w:p>
    <w:p>
      <w:r>
        <w:t xml:space="preserve">[9] Rezatofighi H, Tsoi N, Gwak J, et al. Generalized Intersection over Union.</w:t>
      </w:r>
    </w:p>
    <w:p>
      <w:r>
        <w:t xml:space="preserve">[10] Yuan J, Lei G, Wan F, Xu L. FEB-YOLOv8: A Steel Surface Defect Detection Algorithm Based on Improved YOLOv8s.</w:t>
      </w:r>
    </w:p>
    <w:p>
      <w:r>
        <w:t xml:space="preserve">[11] 工业表面缺陷检测综述类文献：用于补充钢材、织物、电子元件等工业缺陷检测背景。</w:t>
      </w:r>
    </w:p>
    <w:p>
      <w:r>
        <w:t xml:space="preserve">[12] 风机叶片无人机巡检与缺陷识别相关文献：用于支撑应用背景。</w:t>
      </w:r>
    </w:p>
    <w:p>
      <w:r>
        <w:t xml:space="preserve">[13] 小目标检测综述或改进 YOLO 小目标检测论文：用于支撑 P2 检测头设计。</w:t>
      </w:r>
    </w:p>
    <w:p>
      <w:r>
        <w:t xml:space="preserve">[14] 类别不均衡与困难样本采样相关文献：用于支撑 Hard Sampling。</w:t>
      </w:r>
    </w:p>
    <w:p>
      <w:r>
        <w:t xml:space="preserve">[15] 切片推理、SAHI 或高分辨率图像小目标检测相关文献：用于支撑 Blade-Slice。</w:t>
      </w:r>
    </w:p>
    <w:p>
      <w:r>
        <w:t xml:space="preserve">[16] 注意力机制与多尺度融合相关论文：用于对比其他常见改进路线。</w:t>
      </w:r>
    </w:p>
    <w:p>
      <w:r>
        <w:t xml:space="preserve">[17] 风机叶片裂纹、腐蚀、剥落图像检测数据集或应用论文。</w:t>
      </w:r>
    </w:p>
    <w:p>
      <w:r>
        <w:t xml:space="preserve">[18] 目标检测评价指标与 mAP 相关标准文献或工具说明。</w:t>
      </w:r>
    </w:p>
    <w:sectPr>
      <w:pgSz w:w="11906" w:h="16838"/>
      <w:pgMar w:top="1150" w:right="1150" w:bottom="1150" w:left="1150" w:header="720" w:footer="720" w:gutter="0"/>
      <w:cols w:space="720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  <w:pPrDefault>
      <w:pPr>
        <w:spacing w:line="360" w:lineRule="auto" w:before="0" w:after="120"/>
        <w:jc w:val="both"/>
      </w:pPr>
    </w:pPrDefault>
  </w:docDefaults>
  <w:style w:type="paragraph" w:default="1" w:styleId="Normal">
    <w:name w:val="Normal"/>
    <w:qFormat/>
    <w:rPr>
      <w:rFonts w:ascii="Times New Roman" w:hAnsi="Times New Roman" w:eastAsia="宋体"/>
      <w:sz w:val="21"/>
    </w:rPr>
  </w:style>
  <w:style w:type="paragraph" w:styleId="Title">
    <w:name w:val="Title"/>
    <w:qFormat/>
    <w:pPr>
      <w:jc w:val="center"/>
      <w:spacing w:before="240" w:after="240"/>
    </w:pPr>
    <w:rPr>
      <w:rFonts w:ascii="Times New Roman" w:hAnsi="Times New Roman" w:eastAsia="黑体"/>
      <w:b/>
      <w:sz w:val="32"/>
    </w:rPr>
  </w:style>
  <w:style w:type="paragraph" w:styleId="Subtitle">
    <w:name w:val="Subtitle"/>
    <w:qFormat/>
    <w:pPr>
      <w:jc w:val="center"/>
      <w:spacing w:after="180"/>
    </w:pPr>
    <w:rPr>
      <w:rFonts w:ascii="Times New Roman" w:hAnsi="Times New Roman" w:eastAsia="宋体"/>
      <w:sz w:val="21"/>
    </w:rPr>
  </w:style>
  <w:style w:type="paragraph" w:styleId="Heading1">
    <w:name w:val="heading 1"/>
    <w:basedOn w:val="Normal"/>
    <w:next w:val="Normal"/>
    <w:qFormat/>
    <w:pPr>
      <w:keepNext/>
      <w:spacing w:before="300" w:after="160"/>
    </w:pPr>
    <w:rPr>
      <w:rFonts w:ascii="Times New Roman" w:hAnsi="Times New Roman" w:eastAsia="黑体"/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20" w:after="120"/>
    </w:pPr>
    <w:rPr>
      <w:rFonts w:ascii="Times New Roman" w:hAnsi="Times New Roman" w:eastAsia="黑体"/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Times New Roman" w:hAnsi="Times New Roman" w:eastAsia="黑体"/>
      <w:b/>
      <w:sz w:val="22"/>
    </w:rPr>
  </w:style>
  <w:style w:type="paragraph" w:styleId="Caption">
    <w:name w:val="Caption"/>
    <w:basedOn w:val="Normal"/>
    <w:qFormat/>
    <w:pPr>
      <w:jc w:val="center"/>
      <w:spacing w:before="80" w:after="160"/>
    </w:pPr>
    <w:rPr>
      <w:rFonts w:ascii="Times New Roman" w:hAnsi="Times New Roman" w:eastAsia="宋体"/>
      <w:sz w:val="19"/>
    </w:rPr>
  </w:style>
  <w:style w:type="paragraph" w:styleId="Formula">
    <w:name w:val="Formula"/>
    <w:basedOn w:val="Normal"/>
    <w:qFormat/>
    <w:pPr>
      <w:jc w:val="center"/>
      <w:spacing w:before="80" w:after="80"/>
    </w:pPr>
    <w:rPr>
      <w:rFonts w:ascii="Cambria Math" w:hAnsi="Cambria Math" w:eastAsia="Cambria Math"/>
      <w:sz w:val="21"/>
    </w:rPr>
  </w:style>
  <w:style w:type="table" w:styleId="TableGrid">
    <w:name w:val="Table Grid"/>
    <w:tblPr>
      <w:tblBorders>
        <w:top w:val="single" w:sz="8" w:space="0" w:color="6C7A89"/>
        <w:left w:val="single" w:sz="8" w:space="0" w:color="6C7A89"/>
        <w:bottom w:val="single" w:sz="8" w:space="0" w:color="6C7A89"/>
        <w:right w:val="single" w:sz="8" w:space="0" w:color="6C7A89"/>
        <w:insideH w:val="single" w:sz="6" w:space="0" w:color="BFC9CA"/>
        <w:insideV w:val="single" w:sz="6" w:space="0" w:color="BFC9CA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0" Type="http://schemas.openxmlformats.org/officeDocument/2006/relationships/image" Target="media/fig_color_5_msf_yolo_system_pipeline.svg"/><Relationship Id="rId41" Type="http://schemas.openxmlformats.org/officeDocument/2006/relationships/image" Target="media/fig_1_msf_yolo_framework.svg"/><Relationship Id="rId42" Type="http://schemas.openxmlformats.org/officeDocument/2006/relationships/image" Target="media/fig_color_0_msf_yolo_precise_network.svg"/><Relationship Id="rId43" Type="http://schemas.openxmlformats.org/officeDocument/2006/relationships/image" Target="media/fig_color_2_p2_head_structure.svg"/><Relationship Id="rId44" Type="http://schemas.openxmlformats.org/officeDocument/2006/relationships/image" Target="media/fig_color_3_shape_aware_formula.svg"/><Relationship Id="rId45" Type="http://schemas.openxmlformats.org/officeDocument/2006/relationships/image" Target="media/fig_color_4_blade_slice_formula.svg"/></Relationships>
</file>