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基于 MSF-YOLO 的风机叶片缺陷检测方法研究</w:t>
      </w:r>
    </w:p>
    <w:p>
      <w:pPr>
        <w:pStyle w:val="Subtitle"/>
      </w:pPr>
      <w:r>
        <w:t xml:space="preserve">论文方法章节与实验设计初稿</w:t>
      </w:r>
    </w:p>
    <w:p>
      <w:pPr>
        <w:pStyle w:val="Heading1"/>
      </w:pPr>
      <w:r>
        <w:t xml:space="preserve">摘要</w:t>
      </w:r>
    </w:p>
    <w:p>
      <w:r>
        <w:t xml:space="preserve">风机叶片在长期服役过程中易受到疲劳载荷、雨蚀、沙尘和雷击等因素影响，产生裂纹、孔洞、腐蚀和表面剥落等缺陷。由于巡检图像分辨率高、背景纹理复杂，缺陷目标常呈现尺度小、形态细长和类别分布不均衡等特点，传统检测模型在小目标召回和困难类别定位方面仍存在不足。针对上述问题，本文构建一种多尺度形态感知检测方法 MSF-YOLO。该方法在 YOLO 检测框架基础上引入 P2 浅层高分辨率检测分支，提高小尺度缺陷在特征图上的表达能力；设计 Shape-Aware 形态感知损失，将目标面积占比和长宽比转化为框级损失权重，增强模型对小面积和细长缺陷的定位约束；同时结合困难样本重加权训练与 Blade-Slice 重叠切片融合推理，分别从训练样本分布和推理尺度补偿两个方面改善复杂场景下的检测稳定性。本文进一步设计了逐项消融实验、分类别指标统计和背景误检分析，用于验证各模块对风机叶片缺陷检测任务的实际贡献。</w:t>
      </w:r>
    </w:p>
    <w:p>
      <w:r>
        <w:rPr>
          <w:b/>
        </w:rPr>
        <w:t xml:space="preserve">关键词：</w:t>
      </w:r>
      <w:r>
        <w:t xml:space="preserve">风机叶片；缺陷检测；YOLO；小目标检测；形态感知损失；消融实验</w:t>
      </w:r>
    </w:p>
    <w:p>
      <w:pPr>
        <w:pStyle w:val="Heading1"/>
      </w:pPr>
      <w:r>
        <w:t xml:space="preserve">一、研究背景与难点创新</w:t>
      </w:r>
    </w:p>
    <w:p>
      <w:pPr>
        <w:pStyle w:val="Heading2"/>
      </w:pPr>
      <w:r>
        <w:t xml:space="preserve">1. 研究背景及意义</w:t>
      </w:r>
    </w:p>
    <w:p>
      <w:r>
        <w:t xml:space="preserve">风机叶片是风力发电机组中直接承受气动载荷的关键部件，其运行状态对机组安全性和发电效率具有重要影响。在实际运维中，叶片表面缺陷通常通过无人机或巡检设备采集图像后进行人工复核。该方式虽然具有较强的可解释性，但面对大规模风场时存在效率低、主观性强和漏检风险高等问题。利用深度学习目标检测方法实现叶片缺陷自动识别，能够为后续状态评估、检修决策和故障预警提供更稳定的数据基础。</w:t>
      </w:r>
    </w:p>
    <w:p>
      <w:r>
        <w:t xml:space="preserve">与通用目标检测相比，风机叶片缺陷检测对模型提出了更严格的要求。一方面，裂纹和腐蚀等缺陷在整幅巡检图像中的面积占比较小，经过输入缩放和深层下采样后容易丢失局部纹理；另一方面，不同缺陷类别之间外观边界并不总是清晰，复杂背景中的脏污、阴影和叶片纹理也可能诱发误检。因此，模型不仅需要获得较高的 mAP，还需要在召回率、困难类别和背景误检方面保持平衡。</w:t>
      </w:r>
    </w:p>
    <w:p>
      <w:pPr>
        <w:pStyle w:val="Heading2"/>
      </w:pPr>
      <w:r>
        <w:t xml:space="preserve">2. 研究难点</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900" w:type="dxa"/>
            <w:shd w:fill="D9EAF7"/>
            <w:vAlign w:val="center"/>
          </w:tcPr>
          <w:p>
            <w:r>
              <w:rPr>
                <w:b/>
              </w:rPr>
              <w:t xml:space="preserve">序号</w:t>
            </w:r>
          </w:p>
        </w:tc>
        <w:tc>
          <w:tcPr>
            <w:tcW w:w="2100" w:type="dxa"/>
            <w:shd w:fill="D9EAF7"/>
            <w:vAlign w:val="center"/>
          </w:tcPr>
          <w:p>
            <w:r>
              <w:rPr>
                <w:b/>
              </w:rPr>
              <w:t xml:space="preserve">难点</w:t>
            </w:r>
          </w:p>
        </w:tc>
        <w:tc>
          <w:tcPr>
            <w:tcW w:w="4300" w:type="dxa"/>
            <w:shd w:fill="D9EAF7"/>
            <w:vAlign w:val="center"/>
          </w:tcPr>
          <w:p>
            <w:r>
              <w:rPr>
                <w:b/>
              </w:rPr>
              <w:t xml:space="preserve">实际表现</w:t>
            </w:r>
          </w:p>
        </w:tc>
        <w:tc>
          <w:tcPr>
            <w:tcW w:w="4300" w:type="dxa"/>
            <w:shd w:fill="D9EAF7"/>
            <w:vAlign w:val="center"/>
          </w:tcPr>
          <w:p>
            <w:r>
              <w:rPr>
                <w:b/>
              </w:rPr>
              <w:t xml:space="preserve">对模型的影响</w:t>
            </w:r>
          </w:p>
        </w:tc>
      </w:tr>
      <w:tr>
        <w:tc>
          <w:tcPr>
            <w:tcW w:w="900" w:type="dxa"/>
            <w:vAlign w:val="center"/>
          </w:tcPr>
          <w:p>
            <w:r>
              <w:t xml:space="preserve">D1</w:t>
            </w:r>
          </w:p>
        </w:tc>
        <w:tc>
          <w:tcPr>
            <w:tcW w:w="2100" w:type="dxa"/>
            <w:vAlign w:val="center"/>
          </w:tcPr>
          <w:p>
            <w:r>
              <w:t xml:space="preserve">小尺度缺陷特征易退化</w:t>
            </w:r>
          </w:p>
        </w:tc>
        <w:tc>
          <w:tcPr>
            <w:tcW w:w="4300" w:type="dxa"/>
            <w:vAlign w:val="center"/>
          </w:tcPr>
          <w:p>
            <w:r>
              <w:t xml:space="preserve">远距离裂纹、小腐蚀点和小孔洞在整图缩放后仅占少量像素</w:t>
            </w:r>
          </w:p>
        </w:tc>
        <w:tc>
          <w:tcPr>
            <w:tcW w:w="4300" w:type="dxa"/>
            <w:vAlign w:val="center"/>
          </w:tcPr>
          <w:p>
            <w:r>
              <w:t xml:space="preserve">深层下采样后目标纹理和边缘信息不足，容易造成漏检</w:t>
            </w:r>
          </w:p>
        </w:tc>
      </w:tr>
      <w:tr>
        <w:tc>
          <w:tcPr>
            <w:tcW w:w="900" w:type="dxa"/>
            <w:vAlign w:val="center"/>
          </w:tcPr>
          <w:p>
            <w:r>
              <w:t xml:space="preserve">D2</w:t>
            </w:r>
          </w:p>
        </w:tc>
        <w:tc>
          <w:tcPr>
            <w:tcW w:w="2100" w:type="dxa"/>
            <w:vAlign w:val="center"/>
          </w:tcPr>
          <w:p>
            <w:r>
              <w:t xml:space="preserve">缺陷形态差异大</w:t>
            </w:r>
          </w:p>
        </w:tc>
        <w:tc>
          <w:tcPr>
            <w:tcW w:w="4300" w:type="dxa"/>
            <w:vAlign w:val="center"/>
          </w:tcPr>
          <w:p>
            <w:r>
              <w:t xml:space="preserve">裂纹呈细长结构，腐蚀和剥落呈不规则区域</w:t>
            </w:r>
          </w:p>
        </w:tc>
        <w:tc>
          <w:tcPr>
            <w:tcW w:w="4300" w:type="dxa"/>
            <w:vAlign w:val="center"/>
          </w:tcPr>
          <w:p>
            <w:r>
              <w:t xml:space="preserve">统一权重的框回归损失难以突出小面积和细长目标</w:t>
            </w:r>
          </w:p>
        </w:tc>
      </w:tr>
      <w:tr>
        <w:tc>
          <w:tcPr>
            <w:tcW w:w="900" w:type="dxa"/>
            <w:vAlign w:val="center"/>
          </w:tcPr>
          <w:p>
            <w:r>
              <w:t xml:space="preserve">D3</w:t>
            </w:r>
          </w:p>
        </w:tc>
        <w:tc>
          <w:tcPr>
            <w:tcW w:w="2100" w:type="dxa"/>
            <w:vAlign w:val="center"/>
          </w:tcPr>
          <w:p>
            <w:r>
              <w:t xml:space="preserve">类别分布与学习难度不均衡</w:t>
            </w:r>
          </w:p>
        </w:tc>
        <w:tc>
          <w:tcPr>
            <w:tcW w:w="4300" w:type="dxa"/>
            <w:vAlign w:val="center"/>
          </w:tcPr>
          <w:p>
            <w:r>
              <w:t xml:space="preserve">crack、corrosion 等类别更易出现低置信度或漏检</w:t>
            </w:r>
          </w:p>
        </w:tc>
        <w:tc>
          <w:tcPr>
            <w:tcW w:w="4300" w:type="dxa"/>
            <w:vAlign w:val="center"/>
          </w:tcPr>
          <w:p>
            <w:r>
              <w:t xml:space="preserve">训练过程可能被易学类别主导，困难类别学习不足</w:t>
            </w:r>
          </w:p>
        </w:tc>
      </w:tr>
      <w:tr>
        <w:tc>
          <w:tcPr>
            <w:tcW w:w="900" w:type="dxa"/>
            <w:vAlign w:val="center"/>
          </w:tcPr>
          <w:p>
            <w:r>
              <w:t xml:space="preserve">D4</w:t>
            </w:r>
          </w:p>
        </w:tc>
        <w:tc>
          <w:tcPr>
            <w:tcW w:w="2100" w:type="dxa"/>
            <w:vAlign w:val="center"/>
          </w:tcPr>
          <w:p>
            <w:r>
              <w:t xml:space="preserve">高分辨率图像推理存在尺度损失</w:t>
            </w:r>
          </w:p>
        </w:tc>
        <w:tc>
          <w:tcPr>
            <w:tcW w:w="4300" w:type="dxa"/>
            <w:vAlign w:val="center"/>
          </w:tcPr>
          <w:p>
            <w:r>
              <w:t xml:space="preserve">整图推理时小缺陷被压缩，局部细节弱化</w:t>
            </w:r>
          </w:p>
        </w:tc>
        <w:tc>
          <w:tcPr>
            <w:tcW w:w="4300" w:type="dxa"/>
            <w:vAlign w:val="center"/>
          </w:tcPr>
          <w:p>
            <w:r>
              <w:t xml:space="preserve">普通全图推理难以兼顾全局语义和局部细节</w:t>
            </w:r>
          </w:p>
        </w:tc>
      </w:tr>
    </w:tbl>
    <w:p>
      <w:pPr>
        <w:pStyle w:val="Caption"/>
        <w:jc w:val="center"/>
      </w:pPr>
      <w:r>
        <w:t xml:space="preserve">表 1  风机叶片缺陷检测任务难点分析</w:t>
      </w:r>
    </w:p>
    <w:p>
      <w:pPr>
        <w:pStyle w:val="Heading2"/>
      </w:pPr>
      <w:r>
        <w:t xml:space="preserve">3. 本文创新点</w:t>
      </w:r>
    </w:p>
    <w:p>
      <w:r>
        <w:t xml:space="preserve">针对上述难点，本文并非单独增加某一检测模块，而是围绕小尺度缺陷检测构建由结构、损失、采样和推理组成的完整方法链路。主要创新点如下。</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900" w:type="dxa"/>
            <w:shd w:fill="D9EAF7"/>
            <w:vAlign w:val="center"/>
          </w:tcPr>
          <w:p>
            <w:r>
              <w:rPr>
                <w:b/>
              </w:rPr>
              <w:t xml:space="preserve">序号</w:t>
            </w:r>
          </w:p>
        </w:tc>
        <w:tc>
          <w:tcPr>
            <w:tcW w:w="2300" w:type="dxa"/>
            <w:shd w:fill="D9EAF7"/>
            <w:vAlign w:val="center"/>
          </w:tcPr>
          <w:p>
            <w:r>
              <w:rPr>
                <w:b/>
              </w:rPr>
              <w:t xml:space="preserve">创新点</w:t>
            </w:r>
          </w:p>
        </w:tc>
        <w:tc>
          <w:tcPr>
            <w:tcW w:w="5900" w:type="dxa"/>
            <w:shd w:fill="D9EAF7"/>
            <w:vAlign w:val="center"/>
          </w:tcPr>
          <w:p>
            <w:r>
              <w:rPr>
                <w:b/>
              </w:rPr>
              <w:t xml:space="preserve">技术内容</w:t>
            </w:r>
          </w:p>
        </w:tc>
        <w:tc>
          <w:tcPr>
            <w:tcW w:w="1200" w:type="dxa"/>
            <w:shd w:fill="D9EAF7"/>
            <w:vAlign w:val="center"/>
          </w:tcPr>
          <w:p>
            <w:r>
              <w:rPr>
                <w:b/>
              </w:rPr>
              <w:t xml:space="preserve">对应难点</w:t>
            </w:r>
          </w:p>
        </w:tc>
      </w:tr>
      <w:tr>
        <w:tc>
          <w:tcPr>
            <w:tcW w:w="900" w:type="dxa"/>
            <w:vAlign w:val="center"/>
          </w:tcPr>
          <w:p>
            <w:r>
              <w:t xml:space="preserve">1</w:t>
            </w:r>
          </w:p>
        </w:tc>
        <w:tc>
          <w:tcPr>
            <w:tcW w:w="2300" w:type="dxa"/>
            <w:vAlign w:val="center"/>
          </w:tcPr>
          <w:p>
            <w:r>
              <w:t xml:space="preserve">P2 高分辨率检测分支</w:t>
            </w:r>
          </w:p>
        </w:tc>
        <w:tc>
          <w:tcPr>
            <w:tcW w:w="5900" w:type="dxa"/>
            <w:vAlign w:val="center"/>
          </w:tcPr>
          <w:p>
            <w:r>
              <w:t xml:space="preserve">在检测头中引入 stride=4 的 P2 分支，使小缺陷在浅层特征图上获得更多响应单元</w:t>
            </w:r>
          </w:p>
        </w:tc>
        <w:tc>
          <w:tcPr>
            <w:tcW w:w="1200" w:type="dxa"/>
            <w:vAlign w:val="center"/>
          </w:tcPr>
          <w:p>
            <w:r>
              <w:t xml:space="preserve">D1</w:t>
            </w:r>
          </w:p>
        </w:tc>
      </w:tr>
      <w:tr>
        <w:tc>
          <w:tcPr>
            <w:tcW w:w="900" w:type="dxa"/>
            <w:vAlign w:val="center"/>
          </w:tcPr>
          <w:p>
            <w:r>
              <w:t xml:space="preserve">2</w:t>
            </w:r>
          </w:p>
        </w:tc>
        <w:tc>
          <w:tcPr>
            <w:tcW w:w="2300" w:type="dxa"/>
            <w:vAlign w:val="center"/>
          </w:tcPr>
          <w:p>
            <w:r>
              <w:t xml:space="preserve">Shape-Aware 形态感知损失</w:t>
            </w:r>
          </w:p>
        </w:tc>
        <w:tc>
          <w:tcPr>
            <w:tcW w:w="5900" w:type="dxa"/>
            <w:vAlign w:val="center"/>
          </w:tcPr>
          <w:p>
            <w:r>
              <w:t xml:space="preserve">根据目标面积占比和长宽比构造框级权重，增强小面积和细长缺陷的定位约束</w:t>
            </w:r>
          </w:p>
        </w:tc>
        <w:tc>
          <w:tcPr>
            <w:tcW w:w="1200" w:type="dxa"/>
            <w:vAlign w:val="center"/>
          </w:tcPr>
          <w:p>
            <w:r>
              <w:t xml:space="preserve">D2</w:t>
            </w:r>
          </w:p>
        </w:tc>
      </w:tr>
      <w:tr>
        <w:tc>
          <w:tcPr>
            <w:tcW w:w="900" w:type="dxa"/>
            <w:vAlign w:val="center"/>
          </w:tcPr>
          <w:p>
            <w:r>
              <w:t xml:space="preserve">3</w:t>
            </w:r>
          </w:p>
        </w:tc>
        <w:tc>
          <w:tcPr>
            <w:tcW w:w="2300" w:type="dxa"/>
            <w:vAlign w:val="center"/>
          </w:tcPr>
          <w:p>
            <w:r>
              <w:t xml:space="preserve">困难样本重加权训练</w:t>
            </w:r>
          </w:p>
        </w:tc>
        <w:tc>
          <w:tcPr>
            <w:tcW w:w="5900" w:type="dxa"/>
            <w:vAlign w:val="center"/>
          </w:tcPr>
          <w:p>
            <w:r>
              <w:t xml:space="preserve">提高 crack、corrosion 和小目标样本在训练过程中的采样概率，并结合类别权重调整分类损失</w:t>
            </w:r>
          </w:p>
        </w:tc>
        <w:tc>
          <w:tcPr>
            <w:tcW w:w="1200" w:type="dxa"/>
            <w:vAlign w:val="center"/>
          </w:tcPr>
          <w:p>
            <w:r>
              <w:t xml:space="preserve">D3</w:t>
            </w:r>
          </w:p>
        </w:tc>
      </w:tr>
      <w:tr>
        <w:tc>
          <w:tcPr>
            <w:tcW w:w="900" w:type="dxa"/>
            <w:vAlign w:val="center"/>
          </w:tcPr>
          <w:p>
            <w:r>
              <w:t xml:space="preserve">4</w:t>
            </w:r>
          </w:p>
        </w:tc>
        <w:tc>
          <w:tcPr>
            <w:tcW w:w="2300" w:type="dxa"/>
            <w:vAlign w:val="center"/>
          </w:tcPr>
          <w:p>
            <w:r>
              <w:t xml:space="preserve">Blade-Slice 切片融合推理</w:t>
            </w:r>
          </w:p>
        </w:tc>
        <w:tc>
          <w:tcPr>
            <w:tcW w:w="5900" w:type="dxa"/>
            <w:vAlign w:val="center"/>
          </w:tcPr>
          <w:p>
            <w:r>
              <w:t xml:space="preserve">通过局部切片检测、坐标回映射和 NMS 融合缓解整图缩放造成的小目标细节损失</w:t>
            </w:r>
          </w:p>
        </w:tc>
        <w:tc>
          <w:tcPr>
            <w:tcW w:w="1200" w:type="dxa"/>
            <w:vAlign w:val="center"/>
          </w:tcPr>
          <w:p>
            <w:r>
              <w:t xml:space="preserve">D4</w:t>
            </w:r>
          </w:p>
        </w:tc>
      </w:tr>
    </w:tbl>
    <w:p>
      <w:pPr>
        <w:pStyle w:val="Caption"/>
        <w:jc w:val="center"/>
      </w:pPr>
      <w:r>
        <w:t xml:space="preserve">表 2  MSF-YOLO 主要创新点</w:t>
      </w:r>
    </w:p>
    <w:p>
      <w:pPr>
        <w:pStyle w:val="Heading1"/>
      </w:pPr>
      <w:r>
        <w:t xml:space="preserve">二、MSF-YOLO 算法设计结构</w:t>
      </w:r>
    </w:p>
    <w:p>
      <w:pPr>
        <w:pStyle w:val="Heading2"/>
      </w:pPr>
      <w:r>
        <w:t xml:space="preserve">1. 总体结构</w:t>
      </w:r>
    </w:p>
    <w:p>
      <w:r>
        <w:t xml:space="preserve">MSF-YOLO 的总体结构如图 1 所示。训练阶段，模型在 YOLO 检测框架上增加 P2 高分辨率检测头，并在损失函数中引入形态感知权重，同时通过困难样本重加权改变训练样本分布。推理阶段，在普通全图检测结果之外增加 Blade-Slice 局部切片检测结果，并将局部框回映射到原图坐标后进行融合。</w:t>
      </w:r>
    </w:p>
    <w:p>
      <w:pPr>
        <w:jc w:val="center"/>
      </w:pPr>
      <w:r>
        <w:drawing>
          <wp:inline distT="0" distB="0" distL="0" distR="0">
            <wp:extent cx="5580000" cy="3310000"/>
            <wp:effectExtent l="0" t="0" r="0" b="0"/>
            <wp:docPr id="1" name="fig_1_msf_yolo_framework.svg"/>
            <wp:cNvGraphicFramePr>
              <a:graphicFrameLocks noChangeAspect="1"/>
            </wp:cNvGraphicFramePr>
            <a:graphic>
              <a:graphicData uri="http://schemas.openxmlformats.org/drawingml/2006/picture">
                <pic:pic>
                  <pic:nvPicPr>
                    <pic:cNvPr id="1" name="fig_1_msf_yolo_framework.svg"/>
                    <pic:cNvPicPr/>
                  </pic:nvPicPr>
                  <pic:blipFill>
                    <a:blip r:embed="rId10"/>
                    <a:stretch>
                      <a:fillRect/>
                    </a:stretch>
                  </pic:blipFill>
                  <pic:spPr>
                    <a:xfrm>
                      <a:off x="0" y="0"/>
                      <a:ext cx="5580000" cy="3310000"/>
                    </a:xfrm>
                    <a:prstGeom prst="rect">
                      <a:avLst/>
                    </a:prstGeom>
                  </pic:spPr>
                </pic:pic>
              </a:graphicData>
            </a:graphic>
          </wp:inline>
        </w:drawing>
      </w:r>
    </w:p>
    <w:p>
      <w:pPr>
        <w:pStyle w:val="Caption"/>
        <w:jc w:val="center"/>
      </w:pPr>
      <w:r>
        <w:t xml:space="preserve">图 1  MSF-YOLO 总体结构框图</w:t>
      </w:r>
    </w:p>
    <w:p>
      <w:pPr>
        <w:pStyle w:val="Formula"/>
        <w:jc w:val="center"/>
      </w:pPr>
      <w:r>
        <w:rPr>
          <w:rFonts w:ascii="Cambria Math" w:hAnsi="Cambria Math" w:eastAsia="Cambria Math"/>
          <w:sz w:val="21"/>
        </w:rPr>
        <w:t xml:space="preserve">θ* = arg min_θ  E_{i~p}[ L_det(I_i, Y_i; θ, q) ]</w:t>
      </w:r>
    </w:p>
    <w:p>
      <w:r>
        <w:t xml:space="preserve">式中，I_i 表示输入图像，Y_i 表示标注信息，θ 为模型参数，p_i 为困难样本重加权后得到的采样概率，q_i 为 Shape-Aware Loss 中由目标形态计算得到的框级权重。</w:t>
      </w:r>
    </w:p>
    <w:p>
      <w:pPr>
        <w:pStyle w:val="Heading2"/>
      </w:pPr>
      <w:r>
        <w:t xml:space="preserve">2. P2 浅层高分辨率检测分支</w:t>
      </w:r>
    </w:p>
    <w:p>
      <w:r>
        <w:t xml:space="preserve">常规 YOLO 检测头多从 P3 层开始预测，其最小检测 stride 为 8。对于远距离小裂纹、小孔洞或小腐蚀区域，目标经过多次下采样后容易退化为极少数特征点。本文引入 P2 检测分支，将最小检测 stride 扩展至 4，使浅层纹理、边缘和局部结构能够直接参与检测预测。</w:t>
      </w:r>
    </w:p>
    <w:p>
      <w:pPr>
        <w:pStyle w:val="Formula"/>
        <w:jc w:val="center"/>
      </w:pPr>
      <w:r>
        <w:rPr>
          <w:rFonts w:ascii="Cambria Math" w:hAnsi="Cambria Math" w:eastAsia="Cambria Math"/>
          <w:sz w:val="21"/>
        </w:rPr>
        <w:t xml:space="preserve">F_l ∈ R^{C_l × ceil(H/s_l) × ceil(W/s_l)}</w:t>
      </w:r>
    </w:p>
    <w:p>
      <w:pPr>
        <w:pStyle w:val="Formula"/>
        <w:jc w:val="center"/>
      </w:pPr>
      <w:r>
        <w:rPr>
          <w:rFonts w:ascii="Cambria Math" w:hAnsi="Cambria Math" w:eastAsia="Cambria Math"/>
          <w:sz w:val="21"/>
        </w:rPr>
        <w:t xml:space="preserve">s_P2=4,  s_P3=8,  s_P4=16,  s_P5=32</w:t>
      </w:r>
    </w:p>
    <w:p>
      <w:pPr>
        <w:pStyle w:val="Formula"/>
        <w:jc w:val="center"/>
      </w:pPr>
      <w:r>
        <w:rPr>
          <w:rFonts w:ascii="Cambria Math" w:hAnsi="Cambria Math" w:eastAsia="Cambria Math"/>
          <w:sz w:val="21"/>
        </w:rPr>
        <w:t xml:space="preserve">n_cell(b,l)=sqrt(w_b h_b)/s_l</w:t>
      </w:r>
    </w:p>
    <w:p>
      <w:r>
        <w:t xml:space="preserve">由上式可知，在目标像素面积相同的情况下，检测层 stride 越小，目标在特征图上覆盖的单元数越多。因此，P2 分支能够从结构上缓解小缺陷在深层特征中被过度压缩的问题。</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400" w:type="dxa"/>
            <w:shd w:fill="D9EAF7"/>
            <w:vAlign w:val="center"/>
          </w:tcPr>
          <w:p>
            <w:r>
              <w:rPr>
                <w:b/>
              </w:rPr>
              <w:t xml:space="preserve">检测层</w:t>
            </w:r>
          </w:p>
        </w:tc>
        <w:tc>
          <w:tcPr>
            <w:tcW w:w="1200" w:type="dxa"/>
            <w:shd w:fill="D9EAF7"/>
            <w:vAlign w:val="center"/>
          </w:tcPr>
          <w:p>
            <w:r>
              <w:rPr>
                <w:b/>
              </w:rPr>
              <w:t xml:space="preserve">stride</w:t>
            </w:r>
          </w:p>
        </w:tc>
        <w:tc>
          <w:tcPr>
            <w:tcW w:w="2600" w:type="dxa"/>
            <w:shd w:fill="D9EAF7"/>
            <w:vAlign w:val="center"/>
          </w:tcPr>
          <w:p>
            <w:r>
              <w:rPr>
                <w:b/>
              </w:rPr>
              <w:t xml:space="preserve">1024 输入下特征图尺寸</w:t>
            </w:r>
          </w:p>
        </w:tc>
        <w:tc>
          <w:tcPr>
            <w:tcW w:w="4300" w:type="dxa"/>
            <w:shd w:fill="D9EAF7"/>
            <w:vAlign w:val="center"/>
          </w:tcPr>
          <w:p>
            <w:r>
              <w:rPr>
                <w:b/>
              </w:rPr>
              <w:t xml:space="preserve">主要关注对象</w:t>
            </w:r>
          </w:p>
        </w:tc>
      </w:tr>
      <w:tr>
        <w:tc>
          <w:tcPr>
            <w:tcW w:w="1400" w:type="dxa"/>
            <w:vAlign w:val="center"/>
          </w:tcPr>
          <w:p>
            <w:r>
              <w:t xml:space="preserve">P2</w:t>
            </w:r>
          </w:p>
        </w:tc>
        <w:tc>
          <w:tcPr>
            <w:tcW w:w="1200" w:type="dxa"/>
            <w:vAlign w:val="center"/>
          </w:tcPr>
          <w:p>
            <w:r>
              <w:t xml:space="preserve">4</w:t>
            </w:r>
          </w:p>
        </w:tc>
        <w:tc>
          <w:tcPr>
            <w:tcW w:w="2600" w:type="dxa"/>
            <w:vAlign w:val="center"/>
          </w:tcPr>
          <w:p>
            <w:r>
              <w:t xml:space="preserve">256 × 256</w:t>
            </w:r>
          </w:p>
        </w:tc>
        <w:tc>
          <w:tcPr>
            <w:tcW w:w="4300" w:type="dxa"/>
            <w:vAlign w:val="center"/>
          </w:tcPr>
          <w:p>
            <w:r>
              <w:t xml:space="preserve">小裂纹、小腐蚀、小孔洞</w:t>
            </w:r>
          </w:p>
        </w:tc>
      </w:tr>
      <w:tr>
        <w:tc>
          <w:tcPr>
            <w:tcW w:w="1400" w:type="dxa"/>
            <w:vAlign w:val="center"/>
          </w:tcPr>
          <w:p>
            <w:r>
              <w:t xml:space="preserve">P3</w:t>
            </w:r>
          </w:p>
        </w:tc>
        <w:tc>
          <w:tcPr>
            <w:tcW w:w="1200" w:type="dxa"/>
            <w:vAlign w:val="center"/>
          </w:tcPr>
          <w:p>
            <w:r>
              <w:t xml:space="preserve">8</w:t>
            </w:r>
          </w:p>
        </w:tc>
        <w:tc>
          <w:tcPr>
            <w:tcW w:w="2600" w:type="dxa"/>
            <w:vAlign w:val="center"/>
          </w:tcPr>
          <w:p>
            <w:r>
              <w:t xml:space="preserve">128 × 128</w:t>
            </w:r>
          </w:p>
        </w:tc>
        <w:tc>
          <w:tcPr>
            <w:tcW w:w="4300" w:type="dxa"/>
            <w:vAlign w:val="center"/>
          </w:tcPr>
          <w:p>
            <w:r>
              <w:t xml:space="preserve">小目标和中等目标</w:t>
            </w:r>
          </w:p>
        </w:tc>
      </w:tr>
      <w:tr>
        <w:tc>
          <w:tcPr>
            <w:tcW w:w="1400" w:type="dxa"/>
            <w:vAlign w:val="center"/>
          </w:tcPr>
          <w:p>
            <w:r>
              <w:t xml:space="preserve">P4</w:t>
            </w:r>
          </w:p>
        </w:tc>
        <w:tc>
          <w:tcPr>
            <w:tcW w:w="1200" w:type="dxa"/>
            <w:vAlign w:val="center"/>
          </w:tcPr>
          <w:p>
            <w:r>
              <w:t xml:space="preserve">16</w:t>
            </w:r>
          </w:p>
        </w:tc>
        <w:tc>
          <w:tcPr>
            <w:tcW w:w="2600" w:type="dxa"/>
            <w:vAlign w:val="center"/>
          </w:tcPr>
          <w:p>
            <w:r>
              <w:t xml:space="preserve">64 × 64</w:t>
            </w:r>
          </w:p>
        </w:tc>
        <w:tc>
          <w:tcPr>
            <w:tcW w:w="4300" w:type="dxa"/>
            <w:vAlign w:val="center"/>
          </w:tcPr>
          <w:p>
            <w:r>
              <w:t xml:space="preserve">中等目标</w:t>
            </w:r>
          </w:p>
        </w:tc>
      </w:tr>
      <w:tr>
        <w:tc>
          <w:tcPr>
            <w:tcW w:w="1400" w:type="dxa"/>
            <w:vAlign w:val="center"/>
          </w:tcPr>
          <w:p>
            <w:r>
              <w:t xml:space="preserve">P5</w:t>
            </w:r>
          </w:p>
        </w:tc>
        <w:tc>
          <w:tcPr>
            <w:tcW w:w="1200" w:type="dxa"/>
            <w:vAlign w:val="center"/>
          </w:tcPr>
          <w:p>
            <w:r>
              <w:t xml:space="preserve">32</w:t>
            </w:r>
          </w:p>
        </w:tc>
        <w:tc>
          <w:tcPr>
            <w:tcW w:w="2600" w:type="dxa"/>
            <w:vAlign w:val="center"/>
          </w:tcPr>
          <w:p>
            <w:r>
              <w:t xml:space="preserve">32 × 32</w:t>
            </w:r>
          </w:p>
        </w:tc>
        <w:tc>
          <w:tcPr>
            <w:tcW w:w="4300" w:type="dxa"/>
            <w:vAlign w:val="center"/>
          </w:tcPr>
          <w:p>
            <w:r>
              <w:t xml:space="preserve">大目标和强语义目标</w:t>
            </w:r>
          </w:p>
        </w:tc>
      </w:tr>
    </w:tbl>
    <w:p>
      <w:pPr>
        <w:pStyle w:val="Caption"/>
        <w:jc w:val="center"/>
      </w:pPr>
      <w:r>
        <w:t xml:space="preserve">表 3  P2-P5 多尺度检测层说明</w:t>
      </w:r>
    </w:p>
    <w:p>
      <w:pPr>
        <w:pStyle w:val="Heading2"/>
      </w:pPr>
      <w:r>
        <w:t xml:space="preserve">3. Shape-Aware 形态感知损失</w:t>
      </w:r>
    </w:p>
    <w:p>
      <w:r>
        <w:t xml:space="preserve">风机叶片缺陷并非规则目标。裂纹通常呈细长结构，腐蚀和孔洞可能面积较小且边界不规则。若所有正样本框采用相同损失权重，小面积和细长目标对总体损失的贡献容易被大面积目标稀释。为此，本文根据目标面积占比和长宽比构造形态权重，使模型在框回归阶段更加关注小面积和细长缺陷。</w:t>
      </w:r>
    </w:p>
    <w:p>
      <w:pPr>
        <w:jc w:val="center"/>
      </w:pPr>
      <w:r>
        <w:drawing>
          <wp:inline distT="0" distB="0" distL="0" distR="0">
            <wp:extent cx="5580000" cy="2834000"/>
            <wp:effectExtent l="0" t="0" r="0" b="0"/>
            <wp:docPr id="2" name="fig_2_shape_aware_loss.svg"/>
            <wp:cNvGraphicFramePr>
              <a:graphicFrameLocks noChangeAspect="1"/>
            </wp:cNvGraphicFramePr>
            <a:graphic>
              <a:graphicData uri="http://schemas.openxmlformats.org/drawingml/2006/picture">
                <pic:pic>
                  <pic:nvPicPr>
                    <pic:cNvPr id="2" name="fig_2_shape_aware_loss.svg"/>
                    <pic:cNvPicPr/>
                  </pic:nvPicPr>
                  <pic:blipFill>
                    <a:blip r:embed="rId11"/>
                    <a:stretch>
                      <a:fillRect/>
                    </a:stretch>
                  </pic:blipFill>
                  <pic:spPr>
                    <a:xfrm>
                      <a:off x="0" y="0"/>
                      <a:ext cx="5580000" cy="2834000"/>
                    </a:xfrm>
                    <a:prstGeom prst="rect">
                      <a:avLst/>
                    </a:prstGeom>
                  </pic:spPr>
                </pic:pic>
              </a:graphicData>
            </a:graphic>
          </wp:inline>
        </w:drawing>
      </w:r>
    </w:p>
    <w:p>
      <w:pPr>
        <w:pStyle w:val="Caption"/>
        <w:jc w:val="center"/>
      </w:pPr>
      <w:r>
        <w:t xml:space="preserve">图 2  Shape-Aware Loss 权重计算流程</w:t>
      </w:r>
    </w:p>
    <w:p>
      <w:pPr>
        <w:pStyle w:val="Formula"/>
        <w:jc w:val="center"/>
      </w:pPr>
      <w:r>
        <w:rPr>
          <w:rFonts w:ascii="Cambria Math" w:hAnsi="Cambria Math" w:eastAsia="Cambria Math"/>
          <w:sz w:val="21"/>
        </w:rPr>
        <w:t xml:space="preserve">A_i = w_i h_i / (W H),     R_i = max(w_i/h_i, h_i/w_i)</w:t>
      </w:r>
    </w:p>
    <w:p>
      <w:pPr>
        <w:pStyle w:val="Formula"/>
        <w:jc w:val="center"/>
      </w:pPr>
      <w:r>
        <w:rPr>
          <w:rFonts w:ascii="Cambria Math" w:hAnsi="Cambria Math" w:eastAsia="Cambria Math"/>
          <w:sz w:val="21"/>
        </w:rPr>
        <w:t xml:space="preserve">S_i = clip((a_0 - A_i)/a_0, 0, 1)</w:t>
      </w:r>
    </w:p>
    <w:p>
      <w:pPr>
        <w:pStyle w:val="Formula"/>
        <w:jc w:val="center"/>
      </w:pPr>
      <w:r>
        <w:rPr>
          <w:rFonts w:ascii="Cambria Math" w:hAnsi="Cambria Math" w:eastAsia="Cambria Math"/>
          <w:sz w:val="21"/>
        </w:rPr>
        <w:t xml:space="preserve">E_i = clip((R_i - r_0)/r_0, 0, 1)</w:t>
      </w:r>
    </w:p>
    <w:p>
      <w:pPr>
        <w:pStyle w:val="Formula"/>
        <w:jc w:val="center"/>
      </w:pPr>
      <w:r>
        <w:rPr>
          <w:rFonts w:ascii="Cambria Math" w:hAnsi="Cambria Math" w:eastAsia="Cambria Math"/>
          <w:sz w:val="21"/>
        </w:rPr>
        <w:t xml:space="preserve">q_i = clip(1 + αS_i + βE_i, 1, q_max)</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参数</w:t>
            </w:r>
          </w:p>
        </w:tc>
        <w:tc>
          <w:tcPr>
            <w:tcW w:w="1600" w:type="dxa"/>
            <w:shd w:fill="D9EAF7"/>
            <w:vAlign w:val="center"/>
          </w:tcPr>
          <w:p>
            <w:r>
              <w:rPr>
                <w:b/>
              </w:rPr>
              <w:t xml:space="preserve">数值</w:t>
            </w:r>
          </w:p>
        </w:tc>
        <w:tc>
          <w:tcPr>
            <w:tcW w:w="6000" w:type="dxa"/>
            <w:shd w:fill="D9EAF7"/>
            <w:vAlign w:val="center"/>
          </w:tcPr>
          <w:p>
            <w:r>
              <w:rPr>
                <w:b/>
              </w:rPr>
              <w:t xml:space="preserve">含义</w:t>
            </w:r>
          </w:p>
        </w:tc>
      </w:tr>
      <w:tr>
        <w:tc>
          <w:tcPr>
            <w:tcW w:w="1800" w:type="dxa"/>
            <w:vAlign w:val="center"/>
          </w:tcPr>
          <w:p>
            <w:r>
              <w:t xml:space="preserve">a_0</w:t>
            </w:r>
          </w:p>
        </w:tc>
        <w:tc>
          <w:tcPr>
            <w:tcW w:w="1600" w:type="dxa"/>
            <w:vAlign w:val="center"/>
          </w:tcPr>
          <w:p>
            <w:r>
              <w:t xml:space="preserve">0.012</w:t>
            </w:r>
          </w:p>
        </w:tc>
        <w:tc>
          <w:tcPr>
            <w:tcW w:w="6000" w:type="dxa"/>
            <w:vAlign w:val="center"/>
          </w:tcPr>
          <w:p>
            <w:r>
              <w:t xml:space="preserve">小目标面积阈值</w:t>
            </w:r>
          </w:p>
        </w:tc>
      </w:tr>
      <w:tr>
        <w:tc>
          <w:tcPr>
            <w:tcW w:w="1800" w:type="dxa"/>
            <w:vAlign w:val="center"/>
          </w:tcPr>
          <w:p>
            <w:r>
              <w:t xml:space="preserve">r_0</w:t>
            </w:r>
          </w:p>
        </w:tc>
        <w:tc>
          <w:tcPr>
            <w:tcW w:w="1600" w:type="dxa"/>
            <w:vAlign w:val="center"/>
          </w:tcPr>
          <w:p>
            <w:r>
              <w:t xml:space="preserve">3.0</w:t>
            </w:r>
          </w:p>
        </w:tc>
        <w:tc>
          <w:tcPr>
            <w:tcW w:w="6000" w:type="dxa"/>
            <w:vAlign w:val="center"/>
          </w:tcPr>
          <w:p>
            <w:r>
              <w:t xml:space="preserve">细长目标长宽比阈值</w:t>
            </w:r>
          </w:p>
        </w:tc>
      </w:tr>
      <w:tr>
        <w:tc>
          <w:tcPr>
            <w:tcW w:w="1800" w:type="dxa"/>
            <w:vAlign w:val="center"/>
          </w:tcPr>
          <w:p>
            <w:r>
              <w:t xml:space="preserve">α</w:t>
            </w:r>
          </w:p>
        </w:tc>
        <w:tc>
          <w:tcPr>
            <w:tcW w:w="1600" w:type="dxa"/>
            <w:vAlign w:val="center"/>
          </w:tcPr>
          <w:p>
            <w:r>
              <w:t xml:space="preserve">0.35</w:t>
            </w:r>
          </w:p>
        </w:tc>
        <w:tc>
          <w:tcPr>
            <w:tcW w:w="6000" w:type="dxa"/>
            <w:vAlign w:val="center"/>
          </w:tcPr>
          <w:p>
            <w:r>
              <w:t xml:space="preserve">小面积目标增益</w:t>
            </w:r>
          </w:p>
        </w:tc>
      </w:tr>
      <w:tr>
        <w:tc>
          <w:tcPr>
            <w:tcW w:w="1800" w:type="dxa"/>
            <w:vAlign w:val="center"/>
          </w:tcPr>
          <w:p>
            <w:r>
              <w:t xml:space="preserve">β</w:t>
            </w:r>
          </w:p>
        </w:tc>
        <w:tc>
          <w:tcPr>
            <w:tcW w:w="1600" w:type="dxa"/>
            <w:vAlign w:val="center"/>
          </w:tcPr>
          <w:p>
            <w:r>
              <w:t xml:space="preserve">0.25</w:t>
            </w:r>
          </w:p>
        </w:tc>
        <w:tc>
          <w:tcPr>
            <w:tcW w:w="6000" w:type="dxa"/>
            <w:vAlign w:val="center"/>
          </w:tcPr>
          <w:p>
            <w:r>
              <w:t xml:space="preserve">细长目标增益</w:t>
            </w:r>
          </w:p>
        </w:tc>
      </w:tr>
      <w:tr>
        <w:tc>
          <w:tcPr>
            <w:tcW w:w="1800" w:type="dxa"/>
            <w:vAlign w:val="center"/>
          </w:tcPr>
          <w:p>
            <w:r>
              <w:t xml:space="preserve">q_max</w:t>
            </w:r>
          </w:p>
        </w:tc>
        <w:tc>
          <w:tcPr>
            <w:tcW w:w="1600" w:type="dxa"/>
            <w:vAlign w:val="center"/>
          </w:tcPr>
          <w:p>
            <w:r>
              <w:t xml:space="preserve">1.7</w:t>
            </w:r>
          </w:p>
        </w:tc>
        <w:tc>
          <w:tcPr>
            <w:tcW w:w="6000" w:type="dxa"/>
            <w:vAlign w:val="center"/>
          </w:tcPr>
          <w:p>
            <w:r>
              <w:t xml:space="preserve">最大形态权重，避免梯度过大</w:t>
            </w:r>
          </w:p>
        </w:tc>
      </w:tr>
    </w:tbl>
    <w:p>
      <w:pPr>
        <w:pStyle w:val="Caption"/>
        <w:jc w:val="center"/>
      </w:pPr>
      <w:r>
        <w:t xml:space="preserve">表 4  Shape-Aware Loss 参数设置</w:t>
      </w:r>
    </w:p>
    <w:p>
      <w:pPr>
        <w:pStyle w:val="Formula"/>
        <w:jc w:val="center"/>
      </w:pPr>
      <w:r>
        <w:rPr>
          <w:rFonts w:ascii="Cambria Math" w:hAnsi="Cambria Math" w:eastAsia="Cambria Math"/>
          <w:sz w:val="21"/>
        </w:rPr>
        <w:t xml:space="preserve">L_box^shape = Σ_{i∈Ω+} (1-CIoU_i)t_iq_i / Σ_{i∈Ω+} t_i</w:t>
      </w:r>
    </w:p>
    <w:p>
      <w:pPr>
        <w:pStyle w:val="Formula"/>
        <w:jc w:val="center"/>
      </w:pPr>
      <w:r>
        <w:rPr>
          <w:rFonts w:ascii="Cambria Math" w:hAnsi="Cambria Math" w:eastAsia="Cambria Math"/>
          <w:sz w:val="21"/>
        </w:rPr>
        <w:t xml:space="preserve">L_dfl^shape = Σ_{i∈Ω+} DFL_i t_iq_i / Σ_{i∈Ω+} t_i</w:t>
      </w:r>
    </w:p>
    <w:p>
      <w:r>
        <w:t xml:space="preserve">当 q_i 大于 1 时，该目标的定位误差将在反向传播中获得更高权重。需要说明的是，Shape-Aware Loss 属于检测框级别的形态先验，并不引入像素级分割标注，因此能够在保持检测任务标注形式的前提下增强形态约束。</w:t>
      </w:r>
    </w:p>
    <w:p>
      <w:pPr>
        <w:pStyle w:val="Heading2"/>
      </w:pPr>
      <w:r>
        <w:t xml:space="preserve">4. 困难样本重加权训练机制</w:t>
      </w:r>
    </w:p>
    <w:p>
      <w:r>
        <w:t xml:space="preserve">在训练集中，部分类别虽然样本数量不少，但受尺度、背景和外观边界影响，实际学习难度更高。本文对包含 crack、corrosion 以及小目标的图像赋予更高采样权重，使困难样本在训练过程中获得更多更新机会。</w:t>
      </w:r>
    </w:p>
    <w:p>
      <w:pPr>
        <w:pStyle w:val="Formula"/>
        <w:jc w:val="center"/>
      </w:pPr>
      <w:r>
        <w:rPr>
          <w:rFonts w:ascii="Cambria Math" w:hAnsi="Cambria Math" w:eastAsia="Cambria Math"/>
          <w:sz w:val="21"/>
        </w:rPr>
        <w:t xml:space="preserve">w_i = clip(1.0 × 3.0^{I[corrosion]} × 2.0^{I[crack]} × 1.5^{I[small]}, 0.05, 6.0)</w:t>
      </w:r>
    </w:p>
    <w:p>
      <w:pPr>
        <w:pStyle w:val="Formula"/>
        <w:jc w:val="center"/>
      </w:pPr>
      <w:r>
        <w:rPr>
          <w:rFonts w:ascii="Cambria Math" w:hAnsi="Cambria Math" w:eastAsia="Cambria Math"/>
          <w:sz w:val="21"/>
        </w:rPr>
        <w:t xml:space="preserve">p_i = w_i / Σ_{j=1}^{N} w_j,       E[m_i] = Np_i</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200" w:type="dxa"/>
            <w:shd w:fill="D9EAF7"/>
            <w:vAlign w:val="center"/>
          </w:tcPr>
          <w:p>
            <w:r>
              <w:rPr>
                <w:b/>
              </w:rPr>
              <w:t xml:space="preserve">样本类型</w:t>
            </w:r>
          </w:p>
        </w:tc>
        <w:tc>
          <w:tcPr>
            <w:tcW w:w="5200" w:type="dxa"/>
            <w:shd w:fill="D9EAF7"/>
            <w:vAlign w:val="center"/>
          </w:tcPr>
          <w:p>
            <w:r>
              <w:rPr>
                <w:b/>
              </w:rPr>
              <w:t xml:space="preserve">触发条件</w:t>
            </w:r>
          </w:p>
        </w:tc>
        <w:tc>
          <w:tcPr>
            <w:tcW w:w="1600" w:type="dxa"/>
            <w:shd w:fill="D9EAF7"/>
            <w:vAlign w:val="center"/>
          </w:tcPr>
          <w:p>
            <w:r>
              <w:rPr>
                <w:b/>
              </w:rPr>
              <w:t xml:space="preserve">权重系数</w:t>
            </w:r>
          </w:p>
        </w:tc>
      </w:tr>
      <w:tr>
        <w:tc>
          <w:tcPr>
            <w:tcW w:w="2200" w:type="dxa"/>
            <w:vAlign w:val="center"/>
          </w:tcPr>
          <w:p>
            <w:r>
              <w:t xml:space="preserve">普通样本</w:t>
            </w:r>
          </w:p>
        </w:tc>
        <w:tc>
          <w:tcPr>
            <w:tcW w:w="5200" w:type="dxa"/>
            <w:vAlign w:val="center"/>
          </w:tcPr>
          <w:p>
            <w:r>
              <w:t xml:space="preserve">未触发困难条件</w:t>
            </w:r>
          </w:p>
        </w:tc>
        <w:tc>
          <w:tcPr>
            <w:tcW w:w="1600" w:type="dxa"/>
            <w:vAlign w:val="center"/>
          </w:tcPr>
          <w:p>
            <w:r>
              <w:t xml:space="preserve">1.0</w:t>
            </w:r>
          </w:p>
        </w:tc>
      </w:tr>
      <w:tr>
        <w:tc>
          <w:tcPr>
            <w:tcW w:w="2200" w:type="dxa"/>
            <w:vAlign w:val="center"/>
          </w:tcPr>
          <w:p>
            <w:r>
              <w:t xml:space="preserve">裂纹样本</w:t>
            </w:r>
          </w:p>
        </w:tc>
        <w:tc>
          <w:tcPr>
            <w:tcW w:w="5200" w:type="dxa"/>
            <w:vAlign w:val="center"/>
          </w:tcPr>
          <w:p>
            <w:r>
              <w:t xml:space="preserve">包含 crack</w:t>
            </w:r>
          </w:p>
        </w:tc>
        <w:tc>
          <w:tcPr>
            <w:tcW w:w="1600" w:type="dxa"/>
            <w:vAlign w:val="center"/>
          </w:tcPr>
          <w:p>
            <w:r>
              <w:t xml:space="preserve">2.0</w:t>
            </w:r>
          </w:p>
        </w:tc>
      </w:tr>
      <w:tr>
        <w:tc>
          <w:tcPr>
            <w:tcW w:w="2200" w:type="dxa"/>
            <w:vAlign w:val="center"/>
          </w:tcPr>
          <w:p>
            <w:r>
              <w:t xml:space="preserve">腐蚀样本</w:t>
            </w:r>
          </w:p>
        </w:tc>
        <w:tc>
          <w:tcPr>
            <w:tcW w:w="5200" w:type="dxa"/>
            <w:vAlign w:val="center"/>
          </w:tcPr>
          <w:p>
            <w:r>
              <w:t xml:space="preserve">包含 corrosion</w:t>
            </w:r>
          </w:p>
        </w:tc>
        <w:tc>
          <w:tcPr>
            <w:tcW w:w="1600" w:type="dxa"/>
            <w:vAlign w:val="center"/>
          </w:tcPr>
          <w:p>
            <w:r>
              <w:t xml:space="preserve">3.0</w:t>
            </w:r>
          </w:p>
        </w:tc>
      </w:tr>
      <w:tr>
        <w:tc>
          <w:tcPr>
            <w:tcW w:w="2200" w:type="dxa"/>
            <w:vAlign w:val="center"/>
          </w:tcPr>
          <w:p>
            <w:r>
              <w:t xml:space="preserve">小目标样本</w:t>
            </w:r>
          </w:p>
        </w:tc>
        <w:tc>
          <w:tcPr>
            <w:tcW w:w="5200" w:type="dxa"/>
            <w:vAlign w:val="center"/>
          </w:tcPr>
          <w:p>
            <w:r>
              <w:t xml:space="preserve">crack/corrosion 且面积占比不高于 0.012</w:t>
            </w:r>
          </w:p>
        </w:tc>
        <w:tc>
          <w:tcPr>
            <w:tcW w:w="1600" w:type="dxa"/>
            <w:vAlign w:val="center"/>
          </w:tcPr>
          <w:p>
            <w:r>
              <w:t xml:space="preserve">1.5</w:t>
            </w:r>
          </w:p>
        </w:tc>
      </w:tr>
      <w:tr>
        <w:tc>
          <w:tcPr>
            <w:tcW w:w="2200" w:type="dxa"/>
            <w:vAlign w:val="center"/>
          </w:tcPr>
          <w:p>
            <w:r>
              <w:t xml:space="preserve">上限截断</w:t>
            </w:r>
          </w:p>
        </w:tc>
        <w:tc>
          <w:tcPr>
            <w:tcW w:w="5200" w:type="dxa"/>
            <w:vAlign w:val="center"/>
          </w:tcPr>
          <w:p>
            <w:r>
              <w:t xml:space="preserve">多个条件叠加后超过上限</w:t>
            </w:r>
          </w:p>
        </w:tc>
        <w:tc>
          <w:tcPr>
            <w:tcW w:w="1600" w:type="dxa"/>
            <w:vAlign w:val="center"/>
          </w:tcPr>
          <w:p>
            <w:r>
              <w:t xml:space="preserve">6.0</w:t>
            </w:r>
          </w:p>
        </w:tc>
      </w:tr>
    </w:tbl>
    <w:p>
      <w:pPr>
        <w:pStyle w:val="Caption"/>
        <w:jc w:val="center"/>
      </w:pPr>
      <w:r>
        <w:t xml:space="preserve">表 5  困难样本采样权重设置</w:t>
      </w:r>
    </w:p>
    <w:p>
      <w:r>
        <w:t xml:space="preserve">与采样权重不同，类别权重作用于分类损失项，用于调整不同类别 BCE 损失的相对贡献。因此，困难样本重加权改变的是样本被抽取的概率，类别权重改变的是分类误差的损失比例，两者分别从数据分布和损失函数两个层面发挥作用。</w:t>
      </w:r>
    </w:p>
    <w:p>
      <w:pPr>
        <w:pStyle w:val="Heading2"/>
      </w:pPr>
      <w:r>
        <w:t xml:space="preserve">5. Blade-Slice 重叠切片融合推理</w:t>
      </w:r>
    </w:p>
    <w:p>
      <w:r>
        <w:t xml:space="preserve">Blade-Slice 是推理阶段的尺度补偿策略，不改变模型结构，也不写入权重。该方法在全图检测之外增加局部窗口检测，将切片检测框回映射至原图坐标后，与全图检测结果进行 NMS 融合。其作用在于使小缺陷在局部窗口中获得更大的相对尺度。</w:t>
      </w:r>
    </w:p>
    <w:p>
      <w:pPr>
        <w:jc w:val="center"/>
      </w:pPr>
      <w:r>
        <w:drawing>
          <wp:inline distT="0" distB="0" distL="0" distR="0">
            <wp:extent cx="5580000" cy="2834000"/>
            <wp:effectExtent l="0" t="0" r="0" b="0"/>
            <wp:docPr id="3" name="fig_3_blade_slice_pipeline.svg"/>
            <wp:cNvGraphicFramePr>
              <a:graphicFrameLocks noChangeAspect="1"/>
            </wp:cNvGraphicFramePr>
            <a:graphic>
              <a:graphicData uri="http://schemas.openxmlformats.org/drawingml/2006/picture">
                <pic:pic>
                  <pic:nvPicPr>
                    <pic:cNvPr id="3" name="fig_3_blade_slice_pipeline.svg"/>
                    <pic:cNvPicPr/>
                  </pic:nvPicPr>
                  <pic:blipFill>
                    <a:blip r:embed="rId12"/>
                    <a:stretch>
                      <a:fillRect/>
                    </a:stretch>
                  </pic:blipFill>
                  <pic:spPr>
                    <a:xfrm>
                      <a:off x="0" y="0"/>
                      <a:ext cx="5580000" cy="2834000"/>
                    </a:xfrm>
                    <a:prstGeom prst="rect">
                      <a:avLst/>
                    </a:prstGeom>
                  </pic:spPr>
                </pic:pic>
              </a:graphicData>
            </a:graphic>
          </wp:inline>
        </w:drawing>
      </w:r>
    </w:p>
    <w:p>
      <w:pPr>
        <w:pStyle w:val="Caption"/>
        <w:jc w:val="center"/>
      </w:pPr>
      <w:r>
        <w:t xml:space="preserve">图 3  Blade-Slice 重叠切片融合推理流程</w:t>
      </w:r>
    </w:p>
    <w:p>
      <w:pPr>
        <w:pStyle w:val="Formula"/>
        <w:jc w:val="center"/>
      </w:pPr>
      <w:r>
        <w:rPr>
          <w:rFonts w:ascii="Cambria Math" w:hAnsi="Cambria Math" w:eastAsia="Cambria Math"/>
          <w:sz w:val="21"/>
        </w:rPr>
        <w:t xml:space="preserve">d = floor(L(1-ρ)),     L=640,  ρ=0.25,  d=480</w:t>
      </w:r>
    </w:p>
    <w:p>
      <w:pPr>
        <w:pStyle w:val="Formula"/>
        <w:jc w:val="center"/>
      </w:pPr>
      <w:r>
        <w:rPr>
          <w:rFonts w:ascii="Cambria Math" w:hAnsi="Cambria Math" w:eastAsia="Cambria Math"/>
          <w:sz w:val="21"/>
        </w:rPr>
        <w:t xml:space="preserve">C_{u,v}=I[u:u+L, v:v+L]</w:t>
      </w:r>
    </w:p>
    <w:p>
      <w:pPr>
        <w:pStyle w:val="Formula"/>
        <w:jc w:val="center"/>
      </w:pPr>
      <w:r>
        <w:rPr>
          <w:rFonts w:ascii="Cambria Math" w:hAnsi="Cambria Math" w:eastAsia="Cambria Math"/>
          <w:sz w:val="21"/>
        </w:rPr>
        <w:t xml:space="preserve">b_global=(x_1+u, y_1+v, x_2+u, y_2+v, c, p)</w:t>
      </w:r>
    </w:p>
    <w:p>
      <w:pPr>
        <w:pStyle w:val="Formula"/>
        <w:jc w:val="center"/>
      </w:pPr>
      <w:r>
        <w:rPr>
          <w:rFonts w:ascii="Cambria Math" w:hAnsi="Cambria Math" w:eastAsia="Cambria Math"/>
          <w:sz w:val="21"/>
        </w:rPr>
        <w:t xml:space="preserve">B_fused = NMS(B_full ∪ B_slice, τ)</w:t>
      </w:r>
    </w:p>
    <w:p>
      <w:pPr>
        <w:pStyle w:val="Heading1"/>
      </w:pPr>
      <w:r>
        <w:t xml:space="preserve">三、实验方案与评价指标</w:t>
      </w:r>
    </w:p>
    <w:p>
      <w:pPr>
        <w:pStyle w:val="Heading2"/>
      </w:pPr>
      <w:r>
        <w:t xml:space="preserve">1. 消融实验设计</w:t>
      </w:r>
    </w:p>
    <w:p>
      <w:r>
        <w:t xml:space="preserve">为验证各模块的独立贡献，本文采用逐项加入的方式设计消融实验。其中，P2、Shape-Aware Loss 和困难样本重加权属于训练链路，Blade-Slice 属于推理链路，因此将 Blade-Slice 单独置于最后一组实验中进行比较。</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200" w:type="dxa"/>
            <w:shd w:fill="D9EAF7"/>
            <w:vAlign w:val="center"/>
          </w:tcPr>
          <w:p>
            <w:r>
              <w:rPr>
                <w:b/>
              </w:rPr>
              <w:t xml:space="preserve">实验编号</w:t>
            </w:r>
          </w:p>
        </w:tc>
        <w:tc>
          <w:tcPr>
            <w:tcW w:w="3000" w:type="dxa"/>
            <w:shd w:fill="D9EAF7"/>
            <w:vAlign w:val="center"/>
          </w:tcPr>
          <w:p>
            <w:r>
              <w:rPr>
                <w:b/>
              </w:rPr>
              <w:t xml:space="preserve">模型设置</w:t>
            </w:r>
          </w:p>
        </w:tc>
        <w:tc>
          <w:tcPr>
            <w:tcW w:w="700" w:type="dxa"/>
            <w:shd w:fill="D9EAF7"/>
            <w:vAlign w:val="center"/>
          </w:tcPr>
          <w:p>
            <w:r>
              <w:rPr>
                <w:b/>
              </w:rPr>
              <w:t xml:space="preserve">P2</w:t>
            </w:r>
          </w:p>
        </w:tc>
        <w:tc>
          <w:tcPr>
            <w:tcW w:w="1200" w:type="dxa"/>
            <w:shd w:fill="D9EAF7"/>
            <w:vAlign w:val="center"/>
          </w:tcPr>
          <w:p>
            <w:r>
              <w:rPr>
                <w:b/>
              </w:rPr>
              <w:t xml:space="preserve">Shape Loss</w:t>
            </w:r>
          </w:p>
        </w:tc>
        <w:tc>
          <w:tcPr>
            <w:tcW w:w="1400" w:type="dxa"/>
            <w:shd w:fill="D9EAF7"/>
            <w:vAlign w:val="center"/>
          </w:tcPr>
          <w:p>
            <w:r>
              <w:rPr>
                <w:b/>
              </w:rPr>
              <w:t xml:space="preserve">Hard Sampling</w:t>
            </w:r>
          </w:p>
        </w:tc>
        <w:tc>
          <w:tcPr>
            <w:tcW w:w="1300" w:type="dxa"/>
            <w:shd w:fill="D9EAF7"/>
            <w:vAlign w:val="center"/>
          </w:tcPr>
          <w:p>
            <w:r>
              <w:rPr>
                <w:b/>
              </w:rPr>
              <w:t xml:space="preserve">Blade-Slice</w:t>
            </w:r>
          </w:p>
        </w:tc>
        <w:tc>
          <w:tcPr>
            <w:tcW w:w="3000" w:type="dxa"/>
            <w:shd w:fill="D9EAF7"/>
            <w:vAlign w:val="center"/>
          </w:tcPr>
          <w:p>
            <w:r>
              <w:rPr>
                <w:b/>
              </w:rPr>
              <w:t xml:space="preserve">实验目的</w:t>
            </w:r>
          </w:p>
        </w:tc>
      </w:tr>
      <w:tr>
        <w:tc>
          <w:tcPr>
            <w:tcW w:w="1200" w:type="dxa"/>
            <w:vAlign w:val="center"/>
          </w:tcPr>
          <w:p>
            <w:r>
              <w:t xml:space="preserve">A0</w:t>
            </w:r>
          </w:p>
        </w:tc>
        <w:tc>
          <w:tcPr>
            <w:tcW w:w="3000" w:type="dxa"/>
            <w:vAlign w:val="center"/>
          </w:tcPr>
          <w:p>
            <w:r>
              <w:t xml:space="preserve">YOLO baseline</w:t>
            </w:r>
          </w:p>
        </w:tc>
        <w:tc>
          <w:tcPr>
            <w:tcW w:w="700" w:type="dxa"/>
            <w:vAlign w:val="center"/>
          </w:tcPr>
          <w:p>
            <w:r>
              <w:t xml:space="preserve">—</w:t>
            </w:r>
          </w:p>
        </w:tc>
        <w:tc>
          <w:tcPr>
            <w:tcW w:w="1200" w:type="dxa"/>
            <w:vAlign w:val="center"/>
          </w:tcPr>
          <w:p>
            <w:r>
              <w:t xml:space="preserve">—</w:t>
            </w:r>
          </w:p>
        </w:tc>
        <w:tc>
          <w:tcPr>
            <w:tcW w:w="1400" w:type="dxa"/>
            <w:vAlign w:val="center"/>
          </w:tcPr>
          <w:p>
            <w:r>
              <w:t xml:space="preserve">—</w:t>
            </w:r>
          </w:p>
        </w:tc>
        <w:tc>
          <w:tcPr>
            <w:tcW w:w="1300" w:type="dxa"/>
            <w:vAlign w:val="center"/>
          </w:tcPr>
          <w:p>
            <w:r>
              <w:t xml:space="preserve">—</w:t>
            </w:r>
          </w:p>
        </w:tc>
        <w:tc>
          <w:tcPr>
            <w:tcW w:w="3000" w:type="dxa"/>
            <w:vAlign w:val="center"/>
          </w:tcPr>
          <w:p>
            <w:r>
              <w:t xml:space="preserve">建立普通 YOLO 检测基线</w:t>
            </w:r>
          </w:p>
        </w:tc>
      </w:tr>
      <w:tr>
        <w:tc>
          <w:tcPr>
            <w:tcW w:w="1200" w:type="dxa"/>
            <w:vAlign w:val="center"/>
          </w:tcPr>
          <w:p>
            <w:r>
              <w:t xml:space="preserve">A1</w:t>
            </w:r>
          </w:p>
        </w:tc>
        <w:tc>
          <w:tcPr>
            <w:tcW w:w="3000" w:type="dxa"/>
            <w:vAlign w:val="center"/>
          </w:tcPr>
          <w:p>
            <w:r>
              <w:t xml:space="preserve">YOLO + P2</w:t>
            </w:r>
          </w:p>
        </w:tc>
        <w:tc>
          <w:tcPr>
            <w:tcW w:w="700" w:type="dxa"/>
            <w:vAlign w:val="center"/>
          </w:tcPr>
          <w:p>
            <w:r>
              <w:t xml:space="preserve">√</w:t>
            </w:r>
          </w:p>
        </w:tc>
        <w:tc>
          <w:tcPr>
            <w:tcW w:w="1200" w:type="dxa"/>
            <w:vAlign w:val="center"/>
          </w:tcPr>
          <w:p>
            <w:r>
              <w:t xml:space="preserve">—</w:t>
            </w:r>
          </w:p>
        </w:tc>
        <w:tc>
          <w:tcPr>
            <w:tcW w:w="1400" w:type="dxa"/>
            <w:vAlign w:val="center"/>
          </w:tcPr>
          <w:p>
            <w:r>
              <w:t xml:space="preserve">—</w:t>
            </w:r>
          </w:p>
        </w:tc>
        <w:tc>
          <w:tcPr>
            <w:tcW w:w="1300" w:type="dxa"/>
            <w:vAlign w:val="center"/>
          </w:tcPr>
          <w:p>
            <w:r>
              <w:t xml:space="preserve">—</w:t>
            </w:r>
          </w:p>
        </w:tc>
        <w:tc>
          <w:tcPr>
            <w:tcW w:w="3000" w:type="dxa"/>
            <w:vAlign w:val="center"/>
          </w:tcPr>
          <w:p>
            <w:r>
              <w:t xml:space="preserve">验证小目标检测头的结构贡献</w:t>
            </w:r>
          </w:p>
        </w:tc>
      </w:tr>
      <w:tr>
        <w:tc>
          <w:tcPr>
            <w:tcW w:w="1200" w:type="dxa"/>
            <w:vAlign w:val="center"/>
          </w:tcPr>
          <w:p>
            <w:r>
              <w:t xml:space="preserve">A2</w:t>
            </w:r>
          </w:p>
        </w:tc>
        <w:tc>
          <w:tcPr>
            <w:tcW w:w="3000" w:type="dxa"/>
            <w:vAlign w:val="center"/>
          </w:tcPr>
          <w:p>
            <w:r>
              <w:t xml:space="preserve">YOLO + P2 + Shape Loss</w:t>
            </w:r>
          </w:p>
        </w:tc>
        <w:tc>
          <w:tcPr>
            <w:tcW w:w="700" w:type="dxa"/>
            <w:vAlign w:val="center"/>
          </w:tcPr>
          <w:p>
            <w:r>
              <w:t xml:space="preserve">√</w:t>
            </w:r>
          </w:p>
        </w:tc>
        <w:tc>
          <w:tcPr>
            <w:tcW w:w="1200" w:type="dxa"/>
            <w:vAlign w:val="center"/>
          </w:tcPr>
          <w:p>
            <w:r>
              <w:t xml:space="preserve">√</w:t>
            </w:r>
          </w:p>
        </w:tc>
        <w:tc>
          <w:tcPr>
            <w:tcW w:w="1400" w:type="dxa"/>
            <w:vAlign w:val="center"/>
          </w:tcPr>
          <w:p>
            <w:r>
              <w:t xml:space="preserve">—</w:t>
            </w:r>
          </w:p>
        </w:tc>
        <w:tc>
          <w:tcPr>
            <w:tcW w:w="1300" w:type="dxa"/>
            <w:vAlign w:val="center"/>
          </w:tcPr>
          <w:p>
            <w:r>
              <w:t xml:space="preserve">—</w:t>
            </w:r>
          </w:p>
        </w:tc>
        <w:tc>
          <w:tcPr>
            <w:tcW w:w="3000" w:type="dxa"/>
            <w:vAlign w:val="center"/>
          </w:tcPr>
          <w:p>
            <w:r>
              <w:t xml:space="preserve">验证形态感知损失对小面积和细长目标的贡献</w:t>
            </w:r>
          </w:p>
        </w:tc>
      </w:tr>
      <w:tr>
        <w:tc>
          <w:tcPr>
            <w:tcW w:w="1200" w:type="dxa"/>
            <w:vAlign w:val="center"/>
          </w:tcPr>
          <w:p>
            <w:r>
              <w:t xml:space="preserve">A3</w:t>
            </w:r>
          </w:p>
        </w:tc>
        <w:tc>
          <w:tcPr>
            <w:tcW w:w="3000" w:type="dxa"/>
            <w:vAlign w:val="center"/>
          </w:tcPr>
          <w:p>
            <w:r>
              <w:t xml:space="preserve">YOLO + P2 + Shape Loss + Hard Sampling</w:t>
            </w:r>
          </w:p>
        </w:tc>
        <w:tc>
          <w:tcPr>
            <w:tcW w:w="700" w:type="dxa"/>
            <w:vAlign w:val="center"/>
          </w:tcPr>
          <w:p>
            <w:r>
              <w:t xml:space="preserve">√</w:t>
            </w:r>
          </w:p>
        </w:tc>
        <w:tc>
          <w:tcPr>
            <w:tcW w:w="1200" w:type="dxa"/>
            <w:vAlign w:val="center"/>
          </w:tcPr>
          <w:p>
            <w:r>
              <w:t xml:space="preserve">√</w:t>
            </w:r>
          </w:p>
        </w:tc>
        <w:tc>
          <w:tcPr>
            <w:tcW w:w="1400" w:type="dxa"/>
            <w:vAlign w:val="center"/>
          </w:tcPr>
          <w:p>
            <w:r>
              <w:t xml:space="preserve">√</w:t>
            </w:r>
          </w:p>
        </w:tc>
        <w:tc>
          <w:tcPr>
            <w:tcW w:w="1300" w:type="dxa"/>
            <w:vAlign w:val="center"/>
          </w:tcPr>
          <w:p>
            <w:r>
              <w:t xml:space="preserve">—</w:t>
            </w:r>
          </w:p>
        </w:tc>
        <w:tc>
          <w:tcPr>
            <w:tcW w:w="3000" w:type="dxa"/>
            <w:vAlign w:val="center"/>
          </w:tcPr>
          <w:p>
            <w:r>
              <w:t xml:space="preserve">验证困难样本重加权对 crack/corrosion 的作用</w:t>
            </w:r>
          </w:p>
        </w:tc>
      </w:tr>
      <w:tr>
        <w:tc>
          <w:tcPr>
            <w:tcW w:w="1200" w:type="dxa"/>
            <w:vAlign w:val="center"/>
          </w:tcPr>
          <w:p>
            <w:r>
              <w:t xml:space="preserve">A4</w:t>
            </w:r>
          </w:p>
        </w:tc>
        <w:tc>
          <w:tcPr>
            <w:tcW w:w="3000" w:type="dxa"/>
            <w:vAlign w:val="center"/>
          </w:tcPr>
          <w:p>
            <w:r>
              <w:t xml:space="preserve">YOLO + P2 + Shape Loss + Hard Sampling + Blade-Slice</w:t>
            </w:r>
          </w:p>
        </w:tc>
        <w:tc>
          <w:tcPr>
            <w:tcW w:w="700" w:type="dxa"/>
            <w:vAlign w:val="center"/>
          </w:tcPr>
          <w:p>
            <w:r>
              <w:t xml:space="preserve">√</w:t>
            </w:r>
          </w:p>
        </w:tc>
        <w:tc>
          <w:tcPr>
            <w:tcW w:w="1200" w:type="dxa"/>
            <w:vAlign w:val="center"/>
          </w:tcPr>
          <w:p>
            <w:r>
              <w:t xml:space="preserve">√</w:t>
            </w:r>
          </w:p>
        </w:tc>
        <w:tc>
          <w:tcPr>
            <w:tcW w:w="1400" w:type="dxa"/>
            <w:vAlign w:val="center"/>
          </w:tcPr>
          <w:p>
            <w:r>
              <w:t xml:space="preserve">√</w:t>
            </w:r>
          </w:p>
        </w:tc>
        <w:tc>
          <w:tcPr>
            <w:tcW w:w="1300" w:type="dxa"/>
            <w:vAlign w:val="center"/>
          </w:tcPr>
          <w:p>
            <w:r>
              <w:t xml:space="preserve">√</w:t>
            </w:r>
          </w:p>
        </w:tc>
        <w:tc>
          <w:tcPr>
            <w:tcW w:w="3000" w:type="dxa"/>
            <w:vAlign w:val="center"/>
          </w:tcPr>
          <w:p>
            <w:r>
              <w:t xml:space="preserve">验证推理阶段尺度补偿收益</w:t>
            </w:r>
          </w:p>
        </w:tc>
      </w:tr>
    </w:tbl>
    <w:p>
      <w:pPr>
        <w:pStyle w:val="Caption"/>
        <w:jc w:val="center"/>
      </w:pPr>
      <w:r>
        <w:t xml:space="preserve">表 6  MSF-YOLO 消融实验设计</w:t>
      </w:r>
    </w:p>
    <w:p>
      <w:pPr>
        <w:pStyle w:val="Heading2"/>
      </w:pPr>
      <w:r>
        <w:t xml:space="preserve">2. 评价指标</w:t>
      </w:r>
    </w:p>
    <w:p>
      <w:pPr>
        <w:pStyle w:val="Formula"/>
        <w:jc w:val="center"/>
      </w:pPr>
      <w:r>
        <w:rPr>
          <w:rFonts w:ascii="Cambria Math" w:hAnsi="Cambria Math" w:eastAsia="Cambria Math"/>
          <w:sz w:val="21"/>
        </w:rPr>
        <w:t xml:space="preserve">Precision = TP/(TP+FP),       Recall = TP/(TP+FN)</w:t>
      </w:r>
    </w:p>
    <w:p>
      <w:pPr>
        <w:pStyle w:val="Formula"/>
        <w:jc w:val="center"/>
      </w:pPr>
      <w:r>
        <w:rPr>
          <w:rFonts w:ascii="Cambria Math" w:hAnsi="Cambria Math" w:eastAsia="Cambria Math"/>
          <w:sz w:val="21"/>
        </w:rPr>
        <w:t xml:space="preserve">mAP50-95 = (1/10) Σ_{τ∈{0.50,0.55,...,0.95}} mAP_τ</w:t>
      </w:r>
    </w:p>
    <w:p>
      <w:pPr>
        <w:pStyle w:val="Formula"/>
        <w:jc w:val="center"/>
      </w:pPr>
      <w:r>
        <w:rPr>
          <w:rFonts w:ascii="Cambria Math" w:hAnsi="Cambria Math" w:eastAsia="Cambria Math"/>
          <w:sz w:val="21"/>
        </w:rPr>
        <w:t xml:space="preserve">FP_bg = Σ_{I_i∈D_empty} |{b∈f_θ(I_i): conf(b)≥η}|</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指标</w:t>
            </w:r>
          </w:p>
        </w:tc>
        <w:tc>
          <w:tcPr>
            <w:tcW w:w="4200" w:type="dxa"/>
            <w:shd w:fill="D9EAF7"/>
            <w:vAlign w:val="center"/>
          </w:tcPr>
          <w:p>
            <w:r>
              <w:rPr>
                <w:b/>
              </w:rPr>
              <w:t xml:space="preserve">含义</w:t>
            </w:r>
          </w:p>
        </w:tc>
        <w:tc>
          <w:tcPr>
            <w:tcW w:w="4200" w:type="dxa"/>
            <w:shd w:fill="D9EAF7"/>
            <w:vAlign w:val="center"/>
          </w:tcPr>
          <w:p>
            <w:r>
              <w:rPr>
                <w:b/>
              </w:rPr>
              <w:t xml:space="preserve">论文中关注原因</w:t>
            </w:r>
          </w:p>
        </w:tc>
      </w:tr>
      <w:tr>
        <w:tc>
          <w:tcPr>
            <w:tcW w:w="1800" w:type="dxa"/>
            <w:vAlign w:val="center"/>
          </w:tcPr>
          <w:p>
            <w:r>
              <w:t xml:space="preserve">Precision</w:t>
            </w:r>
          </w:p>
        </w:tc>
        <w:tc>
          <w:tcPr>
            <w:tcW w:w="4200" w:type="dxa"/>
            <w:vAlign w:val="center"/>
          </w:tcPr>
          <w:p>
            <w:r>
              <w:t xml:space="preserve">预测为缺陷的目标中真正缺陷所占比例</w:t>
            </w:r>
          </w:p>
        </w:tc>
        <w:tc>
          <w:tcPr>
            <w:tcW w:w="4200" w:type="dxa"/>
            <w:vAlign w:val="center"/>
          </w:tcPr>
          <w:p>
            <w:r>
              <w:t xml:space="preserve">反映误检控制能力</w:t>
            </w:r>
          </w:p>
        </w:tc>
      </w:tr>
      <w:tr>
        <w:tc>
          <w:tcPr>
            <w:tcW w:w="1800" w:type="dxa"/>
            <w:vAlign w:val="center"/>
          </w:tcPr>
          <w:p>
            <w:r>
              <w:t xml:space="preserve">Recall</w:t>
            </w:r>
          </w:p>
        </w:tc>
        <w:tc>
          <w:tcPr>
            <w:tcW w:w="4200" w:type="dxa"/>
            <w:vAlign w:val="center"/>
          </w:tcPr>
          <w:p>
            <w:r>
              <w:t xml:space="preserve">真实缺陷中被模型检出的比例</w:t>
            </w:r>
          </w:p>
        </w:tc>
        <w:tc>
          <w:tcPr>
            <w:tcW w:w="4200" w:type="dxa"/>
            <w:vAlign w:val="center"/>
          </w:tcPr>
          <w:p>
            <w:r>
              <w:t xml:space="preserve">反映漏检风险</w:t>
            </w:r>
          </w:p>
        </w:tc>
      </w:tr>
      <w:tr>
        <w:tc>
          <w:tcPr>
            <w:tcW w:w="1800" w:type="dxa"/>
            <w:vAlign w:val="center"/>
          </w:tcPr>
          <w:p>
            <w:r>
              <w:t xml:space="preserve">mAP50</w:t>
            </w:r>
          </w:p>
        </w:tc>
        <w:tc>
          <w:tcPr>
            <w:tcW w:w="4200" w:type="dxa"/>
            <w:vAlign w:val="center"/>
          </w:tcPr>
          <w:p>
            <w:r>
              <w:t xml:space="preserve">IoU=0.50 下的平均精度</w:t>
            </w:r>
          </w:p>
        </w:tc>
        <w:tc>
          <w:tcPr>
            <w:tcW w:w="4200" w:type="dxa"/>
            <w:vAlign w:val="center"/>
          </w:tcPr>
          <w:p>
            <w:r>
              <w:t xml:space="preserve">反映较宽松定位条件下的检测能力</w:t>
            </w:r>
          </w:p>
        </w:tc>
      </w:tr>
      <w:tr>
        <w:tc>
          <w:tcPr>
            <w:tcW w:w="1800" w:type="dxa"/>
            <w:vAlign w:val="center"/>
          </w:tcPr>
          <w:p>
            <w:r>
              <w:t xml:space="preserve">mAP50-95</w:t>
            </w:r>
          </w:p>
        </w:tc>
        <w:tc>
          <w:tcPr>
            <w:tcW w:w="4200" w:type="dxa"/>
            <w:vAlign w:val="center"/>
          </w:tcPr>
          <w:p>
            <w:r>
              <w:t xml:space="preserve">多 IoU 阈值下的平均 mAP</w:t>
            </w:r>
          </w:p>
        </w:tc>
        <w:tc>
          <w:tcPr>
            <w:tcW w:w="4200" w:type="dxa"/>
            <w:vAlign w:val="center"/>
          </w:tcPr>
          <w:p>
            <w:r>
              <w:t xml:space="preserve">反映更严格定位条件下的综合性能</w:t>
            </w:r>
          </w:p>
        </w:tc>
      </w:tr>
      <w:tr>
        <w:tc>
          <w:tcPr>
            <w:tcW w:w="1800" w:type="dxa"/>
            <w:vAlign w:val="center"/>
          </w:tcPr>
          <w:p>
            <w:r>
              <w:t xml:space="preserve">FP_bg</w:t>
            </w:r>
          </w:p>
        </w:tc>
        <w:tc>
          <w:tcPr>
            <w:tcW w:w="4200" w:type="dxa"/>
            <w:vAlign w:val="center"/>
          </w:tcPr>
          <w:p>
            <w:r>
              <w:t xml:space="preserve">空标注背景图中的误检框数量</w:t>
            </w:r>
          </w:p>
        </w:tc>
        <w:tc>
          <w:tcPr>
            <w:tcW w:w="4200" w:type="dxa"/>
            <w:vAlign w:val="center"/>
          </w:tcPr>
          <w:p>
            <w:r>
              <w:t xml:space="preserve">反映工程部署中的背景误报风险</w:t>
            </w:r>
          </w:p>
        </w:tc>
      </w:tr>
    </w:tbl>
    <w:p>
      <w:pPr>
        <w:pStyle w:val="Caption"/>
        <w:jc w:val="center"/>
      </w:pPr>
      <w:r>
        <w:t xml:space="preserve">表 7  评价指标说明</w:t>
      </w:r>
    </w:p>
    <w:p>
      <w:pPr>
        <w:pStyle w:val="Heading2"/>
      </w:pPr>
      <w:r>
        <w:t xml:space="preserve">3. 结果记录表</w:t>
      </w:r>
    </w:p>
    <w:p>
      <w:r>
        <w:t xml:space="preserve">完整消融实验结束后，应按照表 8 和表 9 统一填写结果。所有模型应使用相同数据划分、输入尺寸、置信度阈值、IoU 阈值和评估脚本，避免由于评估口径不同造成结论偏差。</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300" w:type="dxa"/>
            <w:shd w:fill="D9EAF7"/>
            <w:vAlign w:val="center"/>
          </w:tcPr>
          <w:p>
            <w:r>
              <w:rPr>
                <w:b/>
              </w:rPr>
              <w:t xml:space="preserve">实验编号</w:t>
            </w:r>
          </w:p>
        </w:tc>
        <w:tc>
          <w:tcPr>
            <w:tcW w:w="1400" w:type="dxa"/>
            <w:shd w:fill="D9EAF7"/>
            <w:vAlign w:val="center"/>
          </w:tcPr>
          <w:p>
            <w:r>
              <w:rPr>
                <w:b/>
              </w:rPr>
              <w:t xml:space="preserve">Precision</w:t>
            </w:r>
          </w:p>
        </w:tc>
        <w:tc>
          <w:tcPr>
            <w:tcW w:w="1400" w:type="dxa"/>
            <w:shd w:fill="D9EAF7"/>
            <w:vAlign w:val="center"/>
          </w:tcPr>
          <w:p>
            <w:r>
              <w:rPr>
                <w:b/>
              </w:rPr>
              <w:t xml:space="preserve">Recall</w:t>
            </w:r>
          </w:p>
        </w:tc>
        <w:tc>
          <w:tcPr>
            <w:tcW w:w="1400" w:type="dxa"/>
            <w:shd w:fill="D9EAF7"/>
            <w:vAlign w:val="center"/>
          </w:tcPr>
          <w:p>
            <w:r>
              <w:rPr>
                <w:b/>
              </w:rPr>
              <w:t xml:space="preserve">mAP50</w:t>
            </w:r>
          </w:p>
        </w:tc>
        <w:tc>
          <w:tcPr>
            <w:tcW w:w="1500" w:type="dxa"/>
            <w:shd w:fill="D9EAF7"/>
            <w:vAlign w:val="center"/>
          </w:tcPr>
          <w:p>
            <w:r>
              <w:rPr>
                <w:b/>
              </w:rPr>
              <w:t xml:space="preserve">mAP50-95</w:t>
            </w:r>
          </w:p>
        </w:tc>
        <w:tc>
          <w:tcPr>
            <w:tcW w:w="1200" w:type="dxa"/>
            <w:shd w:fill="D9EAF7"/>
            <w:vAlign w:val="center"/>
          </w:tcPr>
          <w:p>
            <w:r>
              <w:rPr>
                <w:b/>
              </w:rPr>
              <w:t xml:space="preserve">FP_bg</w:t>
            </w:r>
          </w:p>
        </w:tc>
        <w:tc>
          <w:tcPr>
            <w:tcW w:w="1300" w:type="dxa"/>
            <w:shd w:fill="D9EAF7"/>
            <w:vAlign w:val="center"/>
          </w:tcPr>
          <w:p>
            <w:r>
              <w:rPr>
                <w:b/>
              </w:rPr>
              <w:t xml:space="preserve">参数量/M</w:t>
            </w:r>
          </w:p>
        </w:tc>
        <w:tc>
          <w:tcPr>
            <w:tcW w:w="1300" w:type="dxa"/>
            <w:shd w:fill="D9EAF7"/>
            <w:vAlign w:val="center"/>
          </w:tcPr>
          <w:p>
            <w:r>
              <w:rPr>
                <w:b/>
              </w:rPr>
              <w:t xml:space="preserve">FLOPs/G</w:t>
            </w:r>
          </w:p>
        </w:tc>
      </w:tr>
      <w:tr>
        <w:tc>
          <w:tcPr>
            <w:tcW w:w="1300" w:type="dxa"/>
            <w:vAlign w:val="center"/>
          </w:tcPr>
          <w:p>
            <w:r>
              <w:t xml:space="preserve">A0</w:t>
            </w:r>
          </w:p>
        </w:tc>
        <w:tc>
          <w:tcPr>
            <w:tcW w:w="1400" w:type="dxa"/>
            <w:vAlign w:val="center"/>
          </w:tcPr>
          <w:p>
            <w:r>
              <w:t xml:space="preserve">待补充</w:t>
            </w:r>
          </w:p>
        </w:tc>
        <w:tc>
          <w:tcPr>
            <w:tcW w:w="1400" w:type="dxa"/>
            <w:vAlign w:val="center"/>
          </w:tcPr>
          <w:p>
            <w:r>
              <w:t xml:space="preserve">待补充</w:t>
            </w:r>
          </w:p>
        </w:tc>
        <w:tc>
          <w:tcPr>
            <w:tcW w:w="14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300" w:type="dxa"/>
            <w:vAlign w:val="center"/>
          </w:tcPr>
          <w:p>
            <w:r>
              <w:t xml:space="preserve">待补充</w:t>
            </w:r>
          </w:p>
        </w:tc>
        <w:tc>
          <w:tcPr>
            <w:tcW w:w="1300" w:type="dxa"/>
            <w:vAlign w:val="center"/>
          </w:tcPr>
          <w:p>
            <w:r>
              <w:t xml:space="preserve">待补充</w:t>
            </w:r>
          </w:p>
        </w:tc>
      </w:tr>
      <w:tr>
        <w:tc>
          <w:tcPr>
            <w:tcW w:w="1300" w:type="dxa"/>
            <w:vAlign w:val="center"/>
          </w:tcPr>
          <w:p>
            <w:r>
              <w:t xml:space="preserve">A1</w:t>
            </w:r>
          </w:p>
        </w:tc>
        <w:tc>
          <w:tcPr>
            <w:tcW w:w="1400" w:type="dxa"/>
            <w:vAlign w:val="center"/>
          </w:tcPr>
          <w:p>
            <w:r>
              <w:t xml:space="preserve">待补充</w:t>
            </w:r>
          </w:p>
        </w:tc>
        <w:tc>
          <w:tcPr>
            <w:tcW w:w="1400" w:type="dxa"/>
            <w:vAlign w:val="center"/>
          </w:tcPr>
          <w:p>
            <w:r>
              <w:t xml:space="preserve">待补充</w:t>
            </w:r>
          </w:p>
        </w:tc>
        <w:tc>
          <w:tcPr>
            <w:tcW w:w="14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300" w:type="dxa"/>
            <w:vAlign w:val="center"/>
          </w:tcPr>
          <w:p>
            <w:r>
              <w:t xml:space="preserve">待补充</w:t>
            </w:r>
          </w:p>
        </w:tc>
        <w:tc>
          <w:tcPr>
            <w:tcW w:w="1300" w:type="dxa"/>
            <w:vAlign w:val="center"/>
          </w:tcPr>
          <w:p>
            <w:r>
              <w:t xml:space="preserve">待补充</w:t>
            </w:r>
          </w:p>
        </w:tc>
      </w:tr>
      <w:tr>
        <w:tc>
          <w:tcPr>
            <w:tcW w:w="1300" w:type="dxa"/>
            <w:vAlign w:val="center"/>
          </w:tcPr>
          <w:p>
            <w:r>
              <w:t xml:space="preserve">A2</w:t>
            </w:r>
          </w:p>
        </w:tc>
        <w:tc>
          <w:tcPr>
            <w:tcW w:w="1400" w:type="dxa"/>
            <w:vAlign w:val="center"/>
          </w:tcPr>
          <w:p>
            <w:r>
              <w:t xml:space="preserve">待补充</w:t>
            </w:r>
          </w:p>
        </w:tc>
        <w:tc>
          <w:tcPr>
            <w:tcW w:w="1400" w:type="dxa"/>
            <w:vAlign w:val="center"/>
          </w:tcPr>
          <w:p>
            <w:r>
              <w:t xml:space="preserve">待补充</w:t>
            </w:r>
          </w:p>
        </w:tc>
        <w:tc>
          <w:tcPr>
            <w:tcW w:w="14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300" w:type="dxa"/>
            <w:vAlign w:val="center"/>
          </w:tcPr>
          <w:p>
            <w:r>
              <w:t xml:space="preserve">待补充</w:t>
            </w:r>
          </w:p>
        </w:tc>
        <w:tc>
          <w:tcPr>
            <w:tcW w:w="1300" w:type="dxa"/>
            <w:vAlign w:val="center"/>
          </w:tcPr>
          <w:p>
            <w:r>
              <w:t xml:space="preserve">待补充</w:t>
            </w:r>
          </w:p>
        </w:tc>
      </w:tr>
      <w:tr>
        <w:tc>
          <w:tcPr>
            <w:tcW w:w="1300" w:type="dxa"/>
            <w:vAlign w:val="center"/>
          </w:tcPr>
          <w:p>
            <w:r>
              <w:t xml:space="preserve">A3</w:t>
            </w:r>
          </w:p>
        </w:tc>
        <w:tc>
          <w:tcPr>
            <w:tcW w:w="1400" w:type="dxa"/>
            <w:vAlign w:val="center"/>
          </w:tcPr>
          <w:p>
            <w:r>
              <w:t xml:space="preserve">待补充</w:t>
            </w:r>
          </w:p>
        </w:tc>
        <w:tc>
          <w:tcPr>
            <w:tcW w:w="1400" w:type="dxa"/>
            <w:vAlign w:val="center"/>
          </w:tcPr>
          <w:p>
            <w:r>
              <w:t xml:space="preserve">待补充</w:t>
            </w:r>
          </w:p>
        </w:tc>
        <w:tc>
          <w:tcPr>
            <w:tcW w:w="14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300" w:type="dxa"/>
            <w:vAlign w:val="center"/>
          </w:tcPr>
          <w:p>
            <w:r>
              <w:t xml:space="preserve">待补充</w:t>
            </w:r>
          </w:p>
        </w:tc>
        <w:tc>
          <w:tcPr>
            <w:tcW w:w="1300" w:type="dxa"/>
            <w:vAlign w:val="center"/>
          </w:tcPr>
          <w:p>
            <w:r>
              <w:t xml:space="preserve">待补充</w:t>
            </w:r>
          </w:p>
        </w:tc>
      </w:tr>
      <w:tr>
        <w:tc>
          <w:tcPr>
            <w:tcW w:w="1300" w:type="dxa"/>
            <w:vAlign w:val="center"/>
          </w:tcPr>
          <w:p>
            <w:r>
              <w:t xml:space="preserve">A4</w:t>
            </w:r>
          </w:p>
        </w:tc>
        <w:tc>
          <w:tcPr>
            <w:tcW w:w="1400" w:type="dxa"/>
            <w:vAlign w:val="center"/>
          </w:tcPr>
          <w:p>
            <w:r>
              <w:t xml:space="preserve">待补充</w:t>
            </w:r>
          </w:p>
        </w:tc>
        <w:tc>
          <w:tcPr>
            <w:tcW w:w="1400" w:type="dxa"/>
            <w:vAlign w:val="center"/>
          </w:tcPr>
          <w:p>
            <w:r>
              <w:t xml:space="preserve">待补充</w:t>
            </w:r>
          </w:p>
        </w:tc>
        <w:tc>
          <w:tcPr>
            <w:tcW w:w="14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300" w:type="dxa"/>
            <w:vAlign w:val="center"/>
          </w:tcPr>
          <w:p>
            <w:r>
              <w:t xml:space="preserve">待补充</w:t>
            </w:r>
          </w:p>
        </w:tc>
        <w:tc>
          <w:tcPr>
            <w:tcW w:w="1300" w:type="dxa"/>
            <w:vAlign w:val="center"/>
          </w:tcPr>
          <w:p>
            <w:r>
              <w:t xml:space="preserve">待补充</w:t>
            </w:r>
          </w:p>
        </w:tc>
      </w:tr>
    </w:tbl>
    <w:p>
      <w:pPr>
        <w:pStyle w:val="Caption"/>
        <w:jc w:val="center"/>
      </w:pPr>
      <w:r>
        <w:t xml:space="preserve">表 8  整体消融实验结果记录表</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400" w:type="dxa"/>
            <w:shd w:fill="D9EAF7"/>
            <w:vAlign w:val="center"/>
          </w:tcPr>
          <w:p>
            <w:r>
              <w:rPr>
                <w:b/>
              </w:rPr>
              <w:t xml:space="preserve">实验编号</w:t>
            </w:r>
          </w:p>
        </w:tc>
        <w:tc>
          <w:tcPr>
            <w:tcW w:w="1500" w:type="dxa"/>
            <w:shd w:fill="D9EAF7"/>
            <w:vAlign w:val="center"/>
          </w:tcPr>
          <w:p>
            <w:r>
              <w:rPr>
                <w:b/>
              </w:rPr>
              <w:t xml:space="preserve">类别</w:t>
            </w:r>
          </w:p>
        </w:tc>
        <w:tc>
          <w:tcPr>
            <w:tcW w:w="1400" w:type="dxa"/>
            <w:shd w:fill="D9EAF7"/>
            <w:vAlign w:val="center"/>
          </w:tcPr>
          <w:p>
            <w:r>
              <w:rPr>
                <w:b/>
              </w:rPr>
              <w:t xml:space="preserve">Precision</w:t>
            </w:r>
          </w:p>
        </w:tc>
        <w:tc>
          <w:tcPr>
            <w:tcW w:w="1400" w:type="dxa"/>
            <w:shd w:fill="D9EAF7"/>
            <w:vAlign w:val="center"/>
          </w:tcPr>
          <w:p>
            <w:r>
              <w:rPr>
                <w:b/>
              </w:rPr>
              <w:t xml:space="preserve">Recall</w:t>
            </w:r>
          </w:p>
        </w:tc>
        <w:tc>
          <w:tcPr>
            <w:tcW w:w="1300" w:type="dxa"/>
            <w:shd w:fill="D9EAF7"/>
            <w:vAlign w:val="center"/>
          </w:tcPr>
          <w:p>
            <w:r>
              <w:rPr>
                <w:b/>
              </w:rPr>
              <w:t xml:space="preserve">mAP50</w:t>
            </w:r>
          </w:p>
        </w:tc>
        <w:tc>
          <w:tcPr>
            <w:tcW w:w="1500" w:type="dxa"/>
            <w:shd w:fill="D9EAF7"/>
            <w:vAlign w:val="center"/>
          </w:tcPr>
          <w:p>
            <w:r>
              <w:rPr>
                <w:b/>
              </w:rPr>
              <w:t xml:space="preserve">mAP50-95</w:t>
            </w:r>
          </w:p>
        </w:tc>
        <w:tc>
          <w:tcPr>
            <w:tcW w:w="1200" w:type="dxa"/>
            <w:shd w:fill="D9EAF7"/>
            <w:vAlign w:val="center"/>
          </w:tcPr>
          <w:p>
            <w:r>
              <w:rPr>
                <w:b/>
              </w:rPr>
              <w:t xml:space="preserve">Missed</w:t>
            </w:r>
          </w:p>
        </w:tc>
        <w:tc>
          <w:tcPr>
            <w:tcW w:w="1100" w:type="dxa"/>
            <w:shd w:fill="D9EAF7"/>
            <w:vAlign w:val="center"/>
          </w:tcPr>
          <w:p>
            <w:r>
              <w:rPr>
                <w:b/>
              </w:rPr>
              <w:t xml:space="preserve">FP</w:t>
            </w:r>
          </w:p>
        </w:tc>
      </w:tr>
      <w:tr>
        <w:tc>
          <w:tcPr>
            <w:tcW w:w="1400" w:type="dxa"/>
            <w:vAlign w:val="center"/>
          </w:tcPr>
          <w:p>
            <w:r>
              <w:t xml:space="preserve">A0-A4</w:t>
            </w:r>
          </w:p>
        </w:tc>
        <w:tc>
          <w:tcPr>
            <w:tcW w:w="1500" w:type="dxa"/>
            <w:vAlign w:val="center"/>
          </w:tcPr>
          <w:p>
            <w:r>
              <w:t xml:space="preserve">crack</w:t>
            </w:r>
          </w:p>
        </w:tc>
        <w:tc>
          <w:tcPr>
            <w:tcW w:w="1400" w:type="dxa"/>
            <w:vAlign w:val="center"/>
          </w:tcPr>
          <w:p>
            <w:r>
              <w:t xml:space="preserve">待补充</w:t>
            </w:r>
          </w:p>
        </w:tc>
        <w:tc>
          <w:tcPr>
            <w:tcW w:w="1400" w:type="dxa"/>
            <w:vAlign w:val="center"/>
          </w:tcPr>
          <w:p>
            <w:r>
              <w:t xml:space="preserve">待补充</w:t>
            </w:r>
          </w:p>
        </w:tc>
        <w:tc>
          <w:tcPr>
            <w:tcW w:w="13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100" w:type="dxa"/>
            <w:vAlign w:val="center"/>
          </w:tcPr>
          <w:p>
            <w:r>
              <w:t xml:space="preserve">待补充</w:t>
            </w:r>
          </w:p>
        </w:tc>
      </w:tr>
      <w:tr>
        <w:tc>
          <w:tcPr>
            <w:tcW w:w="1400" w:type="dxa"/>
            <w:vAlign w:val="center"/>
          </w:tcPr>
          <w:p>
            <w:r>
              <w:t xml:space="preserve">A0-A4</w:t>
            </w:r>
          </w:p>
        </w:tc>
        <w:tc>
          <w:tcPr>
            <w:tcW w:w="1500" w:type="dxa"/>
            <w:vAlign w:val="center"/>
          </w:tcPr>
          <w:p>
            <w:r>
              <w:t xml:space="preserve">hole</w:t>
            </w:r>
          </w:p>
        </w:tc>
        <w:tc>
          <w:tcPr>
            <w:tcW w:w="1400" w:type="dxa"/>
            <w:vAlign w:val="center"/>
          </w:tcPr>
          <w:p>
            <w:r>
              <w:t xml:space="preserve">待补充</w:t>
            </w:r>
          </w:p>
        </w:tc>
        <w:tc>
          <w:tcPr>
            <w:tcW w:w="1400" w:type="dxa"/>
            <w:vAlign w:val="center"/>
          </w:tcPr>
          <w:p>
            <w:r>
              <w:t xml:space="preserve">待补充</w:t>
            </w:r>
          </w:p>
        </w:tc>
        <w:tc>
          <w:tcPr>
            <w:tcW w:w="13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100" w:type="dxa"/>
            <w:vAlign w:val="center"/>
          </w:tcPr>
          <w:p>
            <w:r>
              <w:t xml:space="preserve">待补充</w:t>
            </w:r>
          </w:p>
        </w:tc>
      </w:tr>
      <w:tr>
        <w:tc>
          <w:tcPr>
            <w:tcW w:w="1400" w:type="dxa"/>
            <w:vAlign w:val="center"/>
          </w:tcPr>
          <w:p>
            <w:r>
              <w:t xml:space="preserve">A0-A4</w:t>
            </w:r>
          </w:p>
        </w:tc>
        <w:tc>
          <w:tcPr>
            <w:tcW w:w="1500" w:type="dxa"/>
            <w:vAlign w:val="center"/>
          </w:tcPr>
          <w:p>
            <w:r>
              <w:t xml:space="preserve">spalling</w:t>
            </w:r>
          </w:p>
        </w:tc>
        <w:tc>
          <w:tcPr>
            <w:tcW w:w="1400" w:type="dxa"/>
            <w:vAlign w:val="center"/>
          </w:tcPr>
          <w:p>
            <w:r>
              <w:t xml:space="preserve">待补充</w:t>
            </w:r>
          </w:p>
        </w:tc>
        <w:tc>
          <w:tcPr>
            <w:tcW w:w="1400" w:type="dxa"/>
            <w:vAlign w:val="center"/>
          </w:tcPr>
          <w:p>
            <w:r>
              <w:t xml:space="preserve">待补充</w:t>
            </w:r>
          </w:p>
        </w:tc>
        <w:tc>
          <w:tcPr>
            <w:tcW w:w="13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100" w:type="dxa"/>
            <w:vAlign w:val="center"/>
          </w:tcPr>
          <w:p>
            <w:r>
              <w:t xml:space="preserve">待补充</w:t>
            </w:r>
          </w:p>
        </w:tc>
      </w:tr>
      <w:tr>
        <w:tc>
          <w:tcPr>
            <w:tcW w:w="1400" w:type="dxa"/>
            <w:vAlign w:val="center"/>
          </w:tcPr>
          <w:p>
            <w:r>
              <w:t xml:space="preserve">A0-A4</w:t>
            </w:r>
          </w:p>
        </w:tc>
        <w:tc>
          <w:tcPr>
            <w:tcW w:w="1500" w:type="dxa"/>
            <w:vAlign w:val="center"/>
          </w:tcPr>
          <w:p>
            <w:r>
              <w:t xml:space="preserve">corrosion</w:t>
            </w:r>
          </w:p>
        </w:tc>
        <w:tc>
          <w:tcPr>
            <w:tcW w:w="1400" w:type="dxa"/>
            <w:vAlign w:val="center"/>
          </w:tcPr>
          <w:p>
            <w:r>
              <w:t xml:space="preserve">待补充</w:t>
            </w:r>
          </w:p>
        </w:tc>
        <w:tc>
          <w:tcPr>
            <w:tcW w:w="1400" w:type="dxa"/>
            <w:vAlign w:val="center"/>
          </w:tcPr>
          <w:p>
            <w:r>
              <w:t xml:space="preserve">待补充</w:t>
            </w:r>
          </w:p>
        </w:tc>
        <w:tc>
          <w:tcPr>
            <w:tcW w:w="1300" w:type="dxa"/>
            <w:vAlign w:val="center"/>
          </w:tcPr>
          <w:p>
            <w:r>
              <w:t xml:space="preserve">待补充</w:t>
            </w:r>
          </w:p>
        </w:tc>
        <w:tc>
          <w:tcPr>
            <w:tcW w:w="1500" w:type="dxa"/>
            <w:vAlign w:val="center"/>
          </w:tcPr>
          <w:p>
            <w:r>
              <w:t xml:space="preserve">待补充</w:t>
            </w:r>
          </w:p>
        </w:tc>
        <w:tc>
          <w:tcPr>
            <w:tcW w:w="1200" w:type="dxa"/>
            <w:vAlign w:val="center"/>
          </w:tcPr>
          <w:p>
            <w:r>
              <w:t xml:space="preserve">待补充</w:t>
            </w:r>
          </w:p>
        </w:tc>
        <w:tc>
          <w:tcPr>
            <w:tcW w:w="1100" w:type="dxa"/>
            <w:vAlign w:val="center"/>
          </w:tcPr>
          <w:p>
            <w:r>
              <w:t xml:space="preserve">待补充</w:t>
            </w:r>
          </w:p>
        </w:tc>
      </w:tr>
    </w:tbl>
    <w:p>
      <w:pPr>
        <w:pStyle w:val="Caption"/>
        <w:jc w:val="center"/>
      </w:pPr>
      <w:r>
        <w:t xml:space="preserve">表 9  分类别检测结果记录表</w:t>
      </w:r>
    </w:p>
    <w:p>
      <w:pPr>
        <w:pStyle w:val="Heading1"/>
      </w:pPr>
      <w:r>
        <w:t xml:space="preserve">四、阶段性实验记录与分析边界</w:t>
      </w:r>
    </w:p>
    <w:p>
      <w:r>
        <w:t xml:space="preserve">在完整消融实验完成前，已有阶段性实验可用于说明方法链路的探索过程，但不宜直接作为最终性能结论。从现有结果看，P2、困难样本重加权和 Blade-Slice 均已完成独立验证，但部分配置尚未超过 V4 稳定基线，说明后续需要通过统一消融实验进一步区分模块贡献与训练策略影响。</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600" w:type="dxa"/>
            <w:shd w:fill="D9EAF7"/>
            <w:vAlign w:val="center"/>
          </w:tcPr>
          <w:p>
            <w:r>
              <w:rPr>
                <w:b/>
              </w:rPr>
              <w:t xml:space="preserve">实验方向</w:t>
            </w:r>
          </w:p>
        </w:tc>
        <w:tc>
          <w:tcPr>
            <w:tcW w:w="4300" w:type="dxa"/>
            <w:shd w:fill="D9EAF7"/>
            <w:vAlign w:val="center"/>
          </w:tcPr>
          <w:p>
            <w:r>
              <w:rPr>
                <w:b/>
              </w:rPr>
              <w:t xml:space="preserve">主要观察</w:t>
            </w:r>
          </w:p>
        </w:tc>
        <w:tc>
          <w:tcPr>
            <w:tcW w:w="4300" w:type="dxa"/>
            <w:shd w:fill="D9EAF7"/>
            <w:vAlign w:val="center"/>
          </w:tcPr>
          <w:p>
            <w:r>
              <w:rPr>
                <w:b/>
              </w:rPr>
              <w:t xml:space="preserve">论文写作边界</w:t>
            </w:r>
          </w:p>
        </w:tc>
      </w:tr>
      <w:tr>
        <w:tc>
          <w:tcPr>
            <w:tcW w:w="2600" w:type="dxa"/>
            <w:vAlign w:val="center"/>
          </w:tcPr>
          <w:p>
            <w:r>
              <w:t xml:space="preserve">YOLO-P2 初始实验</w:t>
            </w:r>
          </w:p>
        </w:tc>
        <w:tc>
          <w:tcPr>
            <w:tcW w:w="4300" w:type="dxa"/>
            <w:vAlign w:val="center"/>
          </w:tcPr>
          <w:p>
            <w:r>
              <w:t xml:space="preserve">test_clean mAP50-95 和 Recall 低于 V4，背景误检增加</w:t>
            </w:r>
          </w:p>
        </w:tc>
        <w:tc>
          <w:tcPr>
            <w:tcW w:w="4300" w:type="dxa"/>
            <w:vAlign w:val="center"/>
          </w:tcPr>
          <w:p>
            <w:r>
              <w:t xml:space="preserve">可写为结构方向已验证链路可行，不可写为性能已提升</w:t>
            </w:r>
          </w:p>
        </w:tc>
      </w:tr>
      <w:tr>
        <w:tc>
          <w:tcPr>
            <w:tcW w:w="2600" w:type="dxa"/>
            <w:vAlign w:val="center"/>
          </w:tcPr>
          <w:p>
            <w:r>
              <w:t xml:space="preserve">困难样本重加权</w:t>
            </w:r>
          </w:p>
        </w:tc>
        <w:tc>
          <w:tcPr>
            <w:tcW w:w="4300" w:type="dxa"/>
            <w:vAlign w:val="center"/>
          </w:tcPr>
          <w:p>
            <w:r>
              <w:t xml:space="preserve">部分方案接近 V4，但 corrosion 未形成稳定提升</w:t>
            </w:r>
          </w:p>
        </w:tc>
        <w:tc>
          <w:tcPr>
            <w:tcW w:w="4300" w:type="dxa"/>
            <w:vAlign w:val="center"/>
          </w:tcPr>
          <w:p>
            <w:r>
              <w:t xml:space="preserve">可写为困难样本策略需要控制误检风险</w:t>
            </w:r>
          </w:p>
        </w:tc>
      </w:tr>
      <w:tr>
        <w:tc>
          <w:tcPr>
            <w:tcW w:w="2600" w:type="dxa"/>
            <w:vAlign w:val="center"/>
          </w:tcPr>
          <w:p>
            <w:r>
              <w:t xml:space="preserve">Blade-Slice 默认参数</w:t>
            </w:r>
          </w:p>
        </w:tc>
        <w:tc>
          <w:tcPr>
            <w:tcW w:w="4300" w:type="dxa"/>
            <w:vAlign w:val="center"/>
          </w:tcPr>
          <w:p>
            <w:r>
              <w:t xml:space="preserve">小幅增加召回但误检明显增加</w:t>
            </w:r>
          </w:p>
        </w:tc>
        <w:tc>
          <w:tcPr>
            <w:tcW w:w="4300" w:type="dxa"/>
            <w:vAlign w:val="center"/>
          </w:tcPr>
          <w:p>
            <w:r>
              <w:t xml:space="preserve">可写为推理尺度补偿方向需进一步门控和分场景验证</w:t>
            </w:r>
          </w:p>
        </w:tc>
      </w:tr>
      <w:tr>
        <w:tc>
          <w:tcPr>
            <w:tcW w:w="2600" w:type="dxa"/>
            <w:vAlign w:val="center"/>
          </w:tcPr>
          <w:p>
            <w:r>
              <w:t xml:space="preserve">V6 全创新集合</w:t>
            </w:r>
          </w:p>
        </w:tc>
        <w:tc>
          <w:tcPr>
            <w:tcW w:w="4300" w:type="dxa"/>
            <w:vAlign w:val="center"/>
          </w:tcPr>
          <w:p>
            <w:r>
              <w:t xml:space="preserve">完整链路已实现，但当前指标尚未超过 V4</w:t>
            </w:r>
          </w:p>
        </w:tc>
        <w:tc>
          <w:tcPr>
            <w:tcW w:w="4300" w:type="dxa"/>
            <w:vAlign w:val="center"/>
          </w:tcPr>
          <w:p>
            <w:r>
              <w:t xml:space="preserve">可写为方法探索与实现验证，最终结论等待消融实验</w:t>
            </w:r>
          </w:p>
        </w:tc>
      </w:tr>
    </w:tbl>
    <w:p>
      <w:pPr>
        <w:pStyle w:val="Caption"/>
        <w:jc w:val="center"/>
      </w:pPr>
      <w:r>
        <w:t xml:space="preserve">表 10  阶段性实验观察与论文表述边界</w:t>
      </w:r>
    </w:p>
    <w:p>
      <w:pPr>
        <w:pStyle w:val="Heading1"/>
      </w:pPr>
      <w:r>
        <w:t xml:space="preserve">五、总结与后续工作</w:t>
      </w:r>
    </w:p>
    <w:p>
      <w:r>
        <w:t xml:space="preserve">本文围绕风机叶片缺陷检测中的小尺度、细长形态、困难类别和高分辨率推理问题，构建了 MSF-YOLO 方法框架。该框架通过 P2 高分辨率检测头增强小目标特征表达，通过 Shape-Aware Loss 提高小面积和细长缺陷的定位学习强度，通过困难样本重加权改善训练样本分布，并通过 Blade-Slice 在推理阶段补偿局部尺度信息。</w:t>
      </w:r>
    </w:p>
    <w:p>
      <w:r>
        <w:t xml:space="preserve">后续工作将围绕统一消融实验展开，重点比较 A0 至 A4 各组模型在整体指标、分类别指标、背景误检和典型可视化样本上的变化。只有当实验结果同时支持精度、召回和误检控制时，才能进一步将 MSF-YOLO 写成相对于基线模型的有效提升方法；若部分模块仅在特定类别或特定场景中有效，则应在论文中如实限定其适用范围。</w:t>
      </w:r>
    </w:p>
    <w:sectPr>
      <w:pgSz w:w="11906" w:h="16838"/>
      <w:pgMar w:top="1440" w:right="1440" w:bottom="1440" w:left="1440" w:header="720" w:footer="720" w:gutter="0"/>
      <w:cols w:space="720"/>
      <w:docGrid w:linePitch="312"/>
    </w:sectPr>
  </w:body>
</w:document>
</file>

<file path=word/settings.xml><?xml version="1.0" encoding="utf-8"?>
<w:settings xmlns:w="http://schemas.openxmlformats.org/wordprocessingml/2006/main">
  <w:zoom w:percent="100"/>
  <w:defaultTabStop w:val="420"/>
  <w:characterSpacingControl w:val="doNotCompress"/>
</w:settings>
</file>

<file path=word/styles.xml><?xml version="1.0" encoding="utf-8"?>
<w:styles xmlns:w="http://schemas.openxmlformats.org/wordprocessingml/2006/main">
  <w:docDefaults>
    <w:rPrDefault>
      <w:rPr>
        <w:rFonts w:ascii="Times New Roman" w:hAnsi="Times New Roman" w:eastAsia="宋体"/>
        <w:sz w:val="21"/>
      </w:rPr>
    </w:rPrDefault>
    <w:pPrDefault>
      <w:pPr>
        <w:spacing w:line="360" w:lineRule="auto" w:before="0" w:after="120"/>
        <w:jc w:val="both"/>
      </w:pPr>
    </w:pPrDefault>
  </w:docDefaults>
  <w:style w:type="paragraph" w:default="1" w:styleId="Normal">
    <w:name w:val="Normal"/>
    <w:qFormat/>
    <w:rPr>
      <w:rFonts w:ascii="Times New Roman" w:hAnsi="Times New Roman" w:eastAsia="宋体"/>
      <w:sz w:val="21"/>
    </w:rPr>
  </w:style>
  <w:style w:type="paragraph" w:styleId="Title">
    <w:name w:val="Title"/>
    <w:qFormat/>
    <w:pPr>
      <w:jc w:val="center"/>
      <w:spacing w:before="240" w:after="240"/>
    </w:pPr>
    <w:rPr>
      <w:rFonts w:ascii="Times New Roman" w:hAnsi="Times New Roman" w:eastAsia="黑体"/>
      <w:b/>
      <w:sz w:val="32"/>
    </w:rPr>
  </w:style>
  <w:style w:type="paragraph" w:styleId="Subtitle">
    <w:name w:val="Subtitle"/>
    <w:qFormat/>
    <w:pPr>
      <w:jc w:val="center"/>
      <w:spacing w:after="180"/>
    </w:pPr>
    <w:rPr>
      <w:rFonts w:ascii="Times New Roman" w:hAnsi="Times New Roman" w:eastAsia="宋体"/>
      <w:sz w:val="21"/>
    </w:rPr>
  </w:style>
  <w:style w:type="paragraph" w:styleId="Heading1">
    <w:name w:val="heading 1"/>
    <w:basedOn w:val="Normal"/>
    <w:next w:val="Normal"/>
    <w:qFormat/>
    <w:pPr>
      <w:keepNext/>
      <w:spacing w:before="300" w:after="160"/>
    </w:pPr>
    <w:rPr>
      <w:rFonts w:ascii="Times New Roman" w:hAnsi="Times New Roman" w:eastAsia="黑体"/>
      <w:b/>
      <w:sz w:val="28"/>
    </w:rPr>
  </w:style>
  <w:style w:type="paragraph" w:styleId="Heading2">
    <w:name w:val="heading 2"/>
    <w:basedOn w:val="Normal"/>
    <w:next w:val="Normal"/>
    <w:qFormat/>
    <w:pPr>
      <w:keepNext/>
      <w:spacing w:before="220" w:after="120"/>
    </w:pPr>
    <w:rPr>
      <w:rFonts w:ascii="Times New Roman" w:hAnsi="Times New Roman" w:eastAsia="黑体"/>
      <w:b/>
      <w:sz w:val="24"/>
    </w:rPr>
  </w:style>
  <w:style w:type="paragraph" w:styleId="Heading3">
    <w:name w:val="heading 3"/>
    <w:basedOn w:val="Normal"/>
    <w:next w:val="Normal"/>
    <w:qFormat/>
    <w:pPr>
      <w:keepNext/>
      <w:spacing w:before="160" w:after="80"/>
    </w:pPr>
    <w:rPr>
      <w:rFonts w:ascii="Times New Roman" w:hAnsi="Times New Roman" w:eastAsia="黑体"/>
      <w:b/>
      <w:sz w:val="22"/>
    </w:rPr>
  </w:style>
  <w:style w:type="paragraph" w:styleId="Caption">
    <w:name w:val="Caption"/>
    <w:basedOn w:val="Normal"/>
    <w:qFormat/>
    <w:pPr>
      <w:jc w:val="center"/>
      <w:spacing w:before="80" w:after="160"/>
    </w:pPr>
    <w:rPr>
      <w:rFonts w:ascii="Times New Roman" w:hAnsi="Times New Roman" w:eastAsia="宋体"/>
      <w:sz w:val="19"/>
    </w:rPr>
  </w:style>
  <w:style w:type="paragraph" w:styleId="Formula">
    <w:name w:val="Formula"/>
    <w:basedOn w:val="Normal"/>
    <w:qFormat/>
    <w:pPr>
      <w:jc w:val="center"/>
      <w:spacing w:before="80" w:after="80"/>
    </w:pPr>
    <w:rPr>
      <w:rFonts w:ascii="Cambria Math" w:hAnsi="Cambria Math" w:eastAsia="Cambria Math"/>
      <w:sz w:val="21"/>
    </w:rPr>
  </w:style>
  <w:style w:type="table" w:styleId="TableGrid">
    <w:name w:val="Table Grid"/>
    <w:tblPr>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10" Type="http://schemas.openxmlformats.org/officeDocument/2006/relationships/image" Target="media/fig_1_msf_yolo_framework.svg"/>
  <Relationship Id="rId11" Type="http://schemas.openxmlformats.org/officeDocument/2006/relationships/image" Target="media/fig_2_shape_aware_loss.svg"/>
  <Relationship Id="rId12" Type="http://schemas.openxmlformats.org/officeDocument/2006/relationships/image" Target="media/fig_3_blade_slice_pipeline.svg"/>
</Relationships>

</file>