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MSF-YOLO：基于改进 YOLO 的风机叶片缺陷检测算法</w:t>
      </w:r>
    </w:p>
    <w:p>
      <w:pPr>
        <w:pStyle w:val="Subtitle"/>
      </w:pPr>
      <w:r>
        <w:t xml:space="preserve">MSF-YOLO: A Wind Turbine Blade Defect Detection Algorithm Based on Improved YOLO</w:t>
      </w:r>
    </w:p>
    <w:p>
      <w:pPr>
        <w:pStyle w:val="Heading1"/>
      </w:pPr>
      <w:r>
        <w:t xml:space="preserve">摘要</w:t>
      </w:r>
    </w:p>
    <w:p>
      <w:r>
        <w:t xml:space="preserve">为解决风机叶片巡检图像中小尺度缺陷漏检、细长缺陷定位不稳定以及困难类别样本学习不足等问题，本文提出一种基于改进 YOLO 的风机叶片缺陷检测算法 MSF-YOLO。首先，在检测头中引入 P2 浅层高分辨率分支，使小裂纹、小孔洞和小腐蚀区域在特征图上获得更多有效响应。其次，设计 Shape-Aware 形态感知损失，根据缺陷框面积占比和长宽比对边界框回归损失进行加权，以增强小面积和细长目标的定位约束。最后，结合困难样本重加权训练和 Blade-Slice 重叠切片融合推理，从训练分布和推理尺度两个方面改善复杂场景下的检测稳定性。后续实验将通过消融实验、分类别指标和可视化结果验证各改进模块的有效性。</w:t>
      </w:r>
    </w:p>
    <w:p>
      <w:r>
        <w:t xml:space="preserve">关键词：风机叶片；缺陷检测；YOLO；小目标检测；形态感知损失；切片融合</w:t>
      </w:r>
    </w:p>
    <w:p>
      <w:pPr>
        <w:pStyle w:val="Heading1"/>
      </w:pPr>
      <w:r>
        <w:t xml:space="preserve">I. 引言</w:t>
      </w:r>
    </w:p>
    <w:p>
      <w:r>
        <w:t xml:space="preserve">风机叶片长期暴露在复杂自然环境中，容易受到疲劳载荷、雨蚀、沙尘和外部冲击等因素影响，产生裂纹、孔洞、腐蚀和表面剥落等缺陷。这些缺陷若不能及时发现，可能进一步扩展并影响机组安全运行。传统巡检方式主要依赖人工查看无人机或巡检设备采集的图像，存在工作量大、主观性强和漏检风险高等问题。</w:t>
      </w:r>
    </w:p>
    <w:p>
      <w:r>
        <w:t xml:space="preserve">近年来，YOLO 系列目标检测算法因速度快、端到端部署方便，被广泛用于工业缺陷检测任务。然而，风机叶片缺陷与常规目标存在明显差异：裂纹通常呈细长形态，腐蚀和孔洞面积较小，高分辨率巡检图像在缩放输入后会造成局部细节损失。针对上述问题，本文在 YOLO 检测框架基础上进行结构、损失和推理策略改进，形成 MSF-YOLO 检测方法。</w:t>
      </w:r>
    </w:p>
    <w:p>
      <w:pPr>
        <w:pStyle w:val="Heading1"/>
      </w:pPr>
      <w:r>
        <w:t xml:space="preserve">II. MSF-YOLO 网络模型</w:t>
      </w:r>
    </w:p>
    <w:p>
      <w:r>
        <w:t xml:space="preserve">考虑到检测精度、模型复杂度和工程部署需求，本文以轻量级 YOLO 检测框架为基础构建风机叶片缺陷检测模型。MSF-YOLO 的网络结构如图 1 所示。与普通检测头相比，本文增加 P2 检测分支，并将形态感知损失和困难样本采样机制引入训练过程。</w:t>
      </w:r>
    </w:p>
    <w:p>
      <w:pPr>
        <w:jc w:val="center"/>
      </w:pPr>
      <w:r>
        <w:drawing>
          <wp:inline distT="0" distB="0" distL="0" distR="0">
            <wp:extent cx="5850000" cy="2377000"/>
            <wp:effectExtent l="0" t="0" r="0" b="0"/>
            <wp:docPr id="20" name="fig_feb_1_msf_yolo_network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fig_feb_1_msf_yolo_network.sv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3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1  MSF-YOLO 网络结构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θ* = arg min_θ E_{i~p}[L_det(I_i, Y_i; θ, q)]</w:t>
      </w:r>
    </w:p>
    <w:p>
      <w:r>
        <w:t xml:space="preserve">其中，I_i 为输入图像，Y_i 为标注信息，p_i 为困难样本重加权后的采样概率，q_i 为由目标形态计算得到的损失权重。</w:t>
      </w:r>
    </w:p>
    <w:p>
      <w:pPr>
        <w:pStyle w:val="Heading1"/>
      </w:pPr>
      <w:r>
        <w:t xml:space="preserve">III. 算法改进</w:t>
      </w:r>
    </w:p>
    <w:p>
      <w:pPr>
        <w:pStyle w:val="Heading2"/>
      </w:pPr>
      <w:r>
        <w:t xml:space="preserve">A. P2 小目标检测头</w:t>
      </w:r>
    </w:p>
    <w:p>
      <w:r>
        <w:t xml:space="preserve">普通 YOLO 检测头通常从 P3 层开始预测，最小检测步长为 8。对于远距离小缺陷，深层下采样容易造成纹理和边缘信息损失。本文引入 stride=4 的 P2 检测头，使小目标在特征图上覆盖更多网格单元。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F_l ∈ R^{C_l × ceil(H/s_l) × ceil(W/s_l)}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n_cell(b,l)=sqrt(w_b h_b)/s_l</w:t>
      </w:r>
    </w:p>
    <w:p>
      <w:pPr>
        <w:pStyle w:val="Caption"/>
        <w:jc w:val="center"/>
      </w:pPr>
      <w:r>
        <w:t xml:space="preserve">表 1  MSF-YOLO 多尺度检测层设置</w:t>
      </w:r>
    </w:p>
    <w:tbl>
      <w:tblPr>
        <w:tblW w:w="5000" w:type="pct"/>
        <w:tblBorders>
          <w:top w:val="single" w:sz="10" w:space="0" w:color="000000"/>
          <w:left w:val="single" w:sz="4" w:space="0" w:color="808080"/>
          <w:bottom w:val="single" w:sz="10" w:space="0" w:color="000000"/>
          <w:right w:val="single" w:sz="4" w:space="0" w:color="808080"/>
          <w:insideH w:val="single" w:sz="4" w:space="0" w:color="A6A6A6"/>
          <w:insideV w:val="single" w:sz="4" w:space="0" w:color="A6A6A6"/>
        </w:tblBorders>
        <w:tblCellMar>
          <w:top w:w="70" w:type="dxa"/>
          <w:left w:w="90" w:type="dxa"/>
          <w:bottom w:w="70" w:type="dxa"/>
          <w:right w:w="90" w:type="dxa"/>
        </w:tblCellMar>
      </w:tblPr>
      <w:tr>
        <w:tc>
          <w:tcPr>
            <w:tcW w:w="14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检测层</w:t>
            </w:r>
          </w:p>
        </w:tc>
        <w:tc>
          <w:tcPr>
            <w:tcW w:w="12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Stride</w:t>
            </w:r>
          </w:p>
        </w:tc>
        <w:tc>
          <w:tcPr>
            <w:tcW w:w="26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1024 输入下特征图</w:t>
            </w:r>
          </w:p>
        </w:tc>
        <w:tc>
          <w:tcPr>
            <w:tcW w:w="43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主要检测对象</w:t>
            </w:r>
          </w:p>
        </w:tc>
      </w:tr>
      <w:tr>
        <w:tc>
          <w:tcPr>
            <w:tcW w:w="1400" w:type="dxa"/>
            <w:vAlign w:val="center"/>
          </w:tcPr>
          <w:p>
            <w:r>
              <w:t xml:space="preserve">P2</w:t>
            </w:r>
          </w:p>
        </w:tc>
        <w:tc>
          <w:tcPr>
            <w:tcW w:w="1200" w:type="dxa"/>
            <w:vAlign w:val="center"/>
          </w:tcPr>
          <w:p>
            <w:r>
              <w:t xml:space="preserve">4</w:t>
            </w:r>
          </w:p>
        </w:tc>
        <w:tc>
          <w:tcPr>
            <w:tcW w:w="2600" w:type="dxa"/>
            <w:vAlign w:val="center"/>
          </w:tcPr>
          <w:p>
            <w:r>
              <w:t xml:space="preserve">256 × 256</w:t>
            </w:r>
          </w:p>
        </w:tc>
        <w:tc>
          <w:tcPr>
            <w:tcW w:w="4300" w:type="dxa"/>
            <w:vAlign w:val="center"/>
          </w:tcPr>
          <w:p>
            <w:r>
              <w:t xml:space="preserve">小裂纹、小腐蚀、小孔洞</w:t>
            </w:r>
          </w:p>
        </w:tc>
      </w:tr>
      <w:tr>
        <w:tc>
          <w:tcPr>
            <w:tcW w:w="1400" w:type="dxa"/>
            <w:vAlign w:val="center"/>
          </w:tcPr>
          <w:p>
            <w:r>
              <w:t xml:space="preserve">P3</w:t>
            </w:r>
          </w:p>
        </w:tc>
        <w:tc>
          <w:tcPr>
            <w:tcW w:w="1200" w:type="dxa"/>
            <w:vAlign w:val="center"/>
          </w:tcPr>
          <w:p>
            <w:r>
              <w:t xml:space="preserve">8</w:t>
            </w:r>
          </w:p>
        </w:tc>
        <w:tc>
          <w:tcPr>
            <w:tcW w:w="2600" w:type="dxa"/>
            <w:vAlign w:val="center"/>
          </w:tcPr>
          <w:p>
            <w:r>
              <w:t xml:space="preserve">128 × 128</w:t>
            </w:r>
          </w:p>
        </w:tc>
        <w:tc>
          <w:tcPr>
            <w:tcW w:w="4300" w:type="dxa"/>
            <w:vAlign w:val="center"/>
          </w:tcPr>
          <w:p>
            <w:r>
              <w:t xml:space="preserve">小目标和中等目标</w:t>
            </w:r>
          </w:p>
        </w:tc>
      </w:tr>
      <w:tr>
        <w:tc>
          <w:tcPr>
            <w:tcW w:w="1400" w:type="dxa"/>
            <w:vAlign w:val="center"/>
          </w:tcPr>
          <w:p>
            <w:r>
              <w:t xml:space="preserve">P4</w:t>
            </w:r>
          </w:p>
        </w:tc>
        <w:tc>
          <w:tcPr>
            <w:tcW w:w="1200" w:type="dxa"/>
            <w:vAlign w:val="center"/>
          </w:tcPr>
          <w:p>
            <w:r>
              <w:t xml:space="preserve">16</w:t>
            </w:r>
          </w:p>
        </w:tc>
        <w:tc>
          <w:tcPr>
            <w:tcW w:w="2600" w:type="dxa"/>
            <w:vAlign w:val="center"/>
          </w:tcPr>
          <w:p>
            <w:r>
              <w:t xml:space="preserve">64 × 64</w:t>
            </w:r>
          </w:p>
        </w:tc>
        <w:tc>
          <w:tcPr>
            <w:tcW w:w="4300" w:type="dxa"/>
            <w:vAlign w:val="center"/>
          </w:tcPr>
          <w:p>
            <w:r>
              <w:t xml:space="preserve">中等目标</w:t>
            </w:r>
          </w:p>
        </w:tc>
      </w:tr>
      <w:tr>
        <w:tc>
          <w:tcPr>
            <w:tcW w:w="1400" w:type="dxa"/>
            <w:vAlign w:val="center"/>
          </w:tcPr>
          <w:p>
            <w:r>
              <w:t xml:space="preserve">P5</w:t>
            </w:r>
          </w:p>
        </w:tc>
        <w:tc>
          <w:tcPr>
            <w:tcW w:w="1200" w:type="dxa"/>
            <w:vAlign w:val="center"/>
          </w:tcPr>
          <w:p>
            <w:r>
              <w:t xml:space="preserve">32</w:t>
            </w:r>
          </w:p>
        </w:tc>
        <w:tc>
          <w:tcPr>
            <w:tcW w:w="2600" w:type="dxa"/>
            <w:vAlign w:val="center"/>
          </w:tcPr>
          <w:p>
            <w:r>
              <w:t xml:space="preserve">32 × 32</w:t>
            </w:r>
          </w:p>
        </w:tc>
        <w:tc>
          <w:tcPr>
            <w:tcW w:w="4300" w:type="dxa"/>
            <w:vAlign w:val="center"/>
          </w:tcPr>
          <w:p>
            <w:r>
              <w:t xml:space="preserve">大目标和强语义目标</w:t>
            </w:r>
          </w:p>
        </w:tc>
      </w:tr>
    </w:tbl>
    <w:p>
      <w:pPr>
        <w:pStyle w:val="Heading2"/>
      </w:pPr>
      <w:r>
        <w:t xml:space="preserve">B. Shape-Aware 形态感知损失</w:t>
      </w:r>
    </w:p>
    <w:p>
      <w:r>
        <w:t xml:space="preserve">裂纹、腐蚀和孔洞在几何形态上差异明显。为了避免小面积和细长缺陷在训练中被易定位目标稀释，本文根据目标框面积占比和长宽比构造形态权重。图 2 给出了各改进模块的关系。</w:t>
      </w:r>
    </w:p>
    <w:p>
      <w:pPr>
        <w:jc w:val="center"/>
      </w:pPr>
      <w:r>
        <w:drawing>
          <wp:inline distT="0" distB="0" distL="0" distR="0">
            <wp:extent cx="5850000" cy="2560000"/>
            <wp:effectExtent l="0" t="0" r="0" b="0"/>
            <wp:docPr id="21" name="fig_feb_2_msf_yolo_modules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fig_feb_2_msf_yolo_modules.sv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2  MSF-YOLO 主要改进模块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A_i = w_i h_i/(WH),       R_i=max(w_i/h_i, h_i/w_i)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S_i=clip((a_0-A_i)/a_0,0,1),       E_i=clip((R_i-r_0)/r_0,0,1)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q_i=clip(1+αS_i+βE_i,1,q_max)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L_box^shape = Σ(1-CIoU_i)t_iq_i / Σt_i</w:t>
      </w:r>
    </w:p>
    <w:p>
      <w:pPr>
        <w:pStyle w:val="Caption"/>
        <w:jc w:val="center"/>
      </w:pPr>
      <w:r>
        <w:t xml:space="preserve">表 2  Shape-Aware Loss 参数设置</w:t>
      </w:r>
    </w:p>
    <w:tbl>
      <w:tblPr>
        <w:tblW w:w="5000" w:type="pct"/>
        <w:tblBorders>
          <w:top w:val="single" w:sz="10" w:space="0" w:color="000000"/>
          <w:left w:val="single" w:sz="4" w:space="0" w:color="808080"/>
          <w:bottom w:val="single" w:sz="10" w:space="0" w:color="000000"/>
          <w:right w:val="single" w:sz="4" w:space="0" w:color="808080"/>
          <w:insideH w:val="single" w:sz="4" w:space="0" w:color="A6A6A6"/>
          <w:insideV w:val="single" w:sz="4" w:space="0" w:color="A6A6A6"/>
        </w:tblBorders>
        <w:tblCellMar>
          <w:top w:w="70" w:type="dxa"/>
          <w:left w:w="90" w:type="dxa"/>
          <w:bottom w:w="70" w:type="dxa"/>
          <w:right w:w="90" w:type="dxa"/>
        </w:tblCellMar>
      </w:tblPr>
      <w:tr>
        <w:tc>
          <w:tcPr>
            <w:tcW w:w="18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参数</w:t>
            </w:r>
          </w:p>
        </w:tc>
        <w:tc>
          <w:tcPr>
            <w:tcW w:w="16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数值</w:t>
            </w:r>
          </w:p>
        </w:tc>
        <w:tc>
          <w:tcPr>
            <w:tcW w:w="60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a_0</w:t>
            </w:r>
          </w:p>
        </w:tc>
        <w:tc>
          <w:tcPr>
            <w:tcW w:w="1600" w:type="dxa"/>
            <w:vAlign w:val="center"/>
          </w:tcPr>
          <w:p>
            <w:r>
              <w:t xml:space="preserve">0.012</w:t>
            </w:r>
          </w:p>
        </w:tc>
        <w:tc>
          <w:tcPr>
            <w:tcW w:w="6000" w:type="dxa"/>
            <w:vAlign w:val="center"/>
          </w:tcPr>
          <w:p>
            <w:r>
              <w:t xml:space="preserve">小目标面积阈值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r_0</w:t>
            </w:r>
          </w:p>
        </w:tc>
        <w:tc>
          <w:tcPr>
            <w:tcW w:w="1600" w:type="dxa"/>
            <w:vAlign w:val="center"/>
          </w:tcPr>
          <w:p>
            <w:r>
              <w:t xml:space="preserve">3.0</w:t>
            </w:r>
          </w:p>
        </w:tc>
        <w:tc>
          <w:tcPr>
            <w:tcW w:w="6000" w:type="dxa"/>
            <w:vAlign w:val="center"/>
          </w:tcPr>
          <w:p>
            <w:r>
              <w:t xml:space="preserve">细长目标长宽比阈值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α</w:t>
            </w:r>
          </w:p>
        </w:tc>
        <w:tc>
          <w:tcPr>
            <w:tcW w:w="1600" w:type="dxa"/>
            <w:vAlign w:val="center"/>
          </w:tcPr>
          <w:p>
            <w:r>
              <w:t xml:space="preserve">0.35</w:t>
            </w:r>
          </w:p>
        </w:tc>
        <w:tc>
          <w:tcPr>
            <w:tcW w:w="6000" w:type="dxa"/>
            <w:vAlign w:val="center"/>
          </w:tcPr>
          <w:p>
            <w:r>
              <w:t xml:space="preserve">小面积目标增益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β</w:t>
            </w:r>
          </w:p>
        </w:tc>
        <w:tc>
          <w:tcPr>
            <w:tcW w:w="1600" w:type="dxa"/>
            <w:vAlign w:val="center"/>
          </w:tcPr>
          <w:p>
            <w:r>
              <w:t xml:space="preserve">0.25</w:t>
            </w:r>
          </w:p>
        </w:tc>
        <w:tc>
          <w:tcPr>
            <w:tcW w:w="6000" w:type="dxa"/>
            <w:vAlign w:val="center"/>
          </w:tcPr>
          <w:p>
            <w:r>
              <w:t xml:space="preserve">细长目标增益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q_max</w:t>
            </w:r>
          </w:p>
        </w:tc>
        <w:tc>
          <w:tcPr>
            <w:tcW w:w="1600" w:type="dxa"/>
            <w:vAlign w:val="center"/>
          </w:tcPr>
          <w:p>
            <w:r>
              <w:t xml:space="preserve">1.7</w:t>
            </w:r>
          </w:p>
        </w:tc>
        <w:tc>
          <w:tcPr>
            <w:tcW w:w="6000" w:type="dxa"/>
            <w:vAlign w:val="center"/>
          </w:tcPr>
          <w:p>
            <w:r>
              <w:t xml:space="preserve">最大权重截断</w:t>
            </w:r>
          </w:p>
        </w:tc>
      </w:tr>
    </w:tbl>
    <w:p>
      <w:pPr>
        <w:pStyle w:val="Heading2"/>
      </w:pPr>
      <w:r>
        <w:t xml:space="preserve">C. 困难样本重加权训练</w:t>
      </w:r>
    </w:p>
    <w:p>
      <w:r>
        <w:t xml:space="preserve">在训练集中，crack 和 corrosion 更容易受到尺度、背景和外观边界影响。本文通过样本权重改变训练样本出现概率，使困难类别和小目标样本在训练过程中获得更多更新机会。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w_i=clip(1.0×3.0^{I[corrosion]}×2.0^{I[crack]}×1.5^{I[small]},0.05,6.0)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p_i=w_i/Σw_j,       E[m_i]=Np_i</w:t>
      </w:r>
    </w:p>
    <w:p>
      <w:pPr>
        <w:pStyle w:val="Caption"/>
        <w:jc w:val="center"/>
      </w:pPr>
      <w:r>
        <w:t xml:space="preserve">表 3  困难样本采样权重</w:t>
      </w:r>
    </w:p>
    <w:tbl>
      <w:tblPr>
        <w:tblW w:w="5000" w:type="pct"/>
        <w:tblBorders>
          <w:top w:val="single" w:sz="10" w:space="0" w:color="000000"/>
          <w:left w:val="single" w:sz="4" w:space="0" w:color="808080"/>
          <w:bottom w:val="single" w:sz="10" w:space="0" w:color="000000"/>
          <w:right w:val="single" w:sz="4" w:space="0" w:color="808080"/>
          <w:insideH w:val="single" w:sz="4" w:space="0" w:color="A6A6A6"/>
          <w:insideV w:val="single" w:sz="4" w:space="0" w:color="A6A6A6"/>
        </w:tblBorders>
        <w:tblCellMar>
          <w:top w:w="70" w:type="dxa"/>
          <w:left w:w="90" w:type="dxa"/>
          <w:bottom w:w="70" w:type="dxa"/>
          <w:right w:w="90" w:type="dxa"/>
        </w:tblCellMar>
      </w:tblPr>
      <w:tr>
        <w:tc>
          <w:tcPr>
            <w:tcW w:w="23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样本类型</w:t>
            </w:r>
          </w:p>
        </w:tc>
        <w:tc>
          <w:tcPr>
            <w:tcW w:w="50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触发条件</w:t>
            </w:r>
          </w:p>
        </w:tc>
        <w:tc>
          <w:tcPr>
            <w:tcW w:w="17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权重系数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普通样本</w:t>
            </w:r>
          </w:p>
        </w:tc>
        <w:tc>
          <w:tcPr>
            <w:tcW w:w="5000" w:type="dxa"/>
            <w:vAlign w:val="center"/>
          </w:tcPr>
          <w:p>
            <w:r>
              <w:t xml:space="preserve">无困难条件</w:t>
            </w:r>
          </w:p>
        </w:tc>
        <w:tc>
          <w:tcPr>
            <w:tcW w:w="1700" w:type="dxa"/>
            <w:vAlign w:val="center"/>
          </w:tcPr>
          <w:p>
            <w:r>
              <w:t xml:space="preserve">1.0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裂纹样本</w:t>
            </w:r>
          </w:p>
        </w:tc>
        <w:tc>
          <w:tcPr>
            <w:tcW w:w="5000" w:type="dxa"/>
            <w:vAlign w:val="center"/>
          </w:tcPr>
          <w:p>
            <w:r>
              <w:t xml:space="preserve">包含 crack</w:t>
            </w:r>
          </w:p>
        </w:tc>
        <w:tc>
          <w:tcPr>
            <w:tcW w:w="1700" w:type="dxa"/>
            <w:vAlign w:val="center"/>
          </w:tcPr>
          <w:p>
            <w:r>
              <w:t xml:space="preserve">2.0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腐蚀样本</w:t>
            </w:r>
          </w:p>
        </w:tc>
        <w:tc>
          <w:tcPr>
            <w:tcW w:w="5000" w:type="dxa"/>
            <w:vAlign w:val="center"/>
          </w:tcPr>
          <w:p>
            <w:r>
              <w:t xml:space="preserve">包含 corrosion</w:t>
            </w:r>
          </w:p>
        </w:tc>
        <w:tc>
          <w:tcPr>
            <w:tcW w:w="1700" w:type="dxa"/>
            <w:vAlign w:val="center"/>
          </w:tcPr>
          <w:p>
            <w:r>
              <w:t xml:space="preserve">3.0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小目标样本</w:t>
            </w:r>
          </w:p>
        </w:tc>
        <w:tc>
          <w:tcPr>
            <w:tcW w:w="5000" w:type="dxa"/>
            <w:vAlign w:val="center"/>
          </w:tcPr>
          <w:p>
            <w:r>
              <w:t xml:space="preserve">crack/corrosion 且面积占比较小</w:t>
            </w:r>
          </w:p>
        </w:tc>
        <w:tc>
          <w:tcPr>
            <w:tcW w:w="1700" w:type="dxa"/>
            <w:vAlign w:val="center"/>
          </w:tcPr>
          <w:p>
            <w:r>
              <w:t xml:space="preserve">1.5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上限截断</w:t>
            </w:r>
          </w:p>
        </w:tc>
        <w:tc>
          <w:tcPr>
            <w:tcW w:w="5000" w:type="dxa"/>
            <w:vAlign w:val="center"/>
          </w:tcPr>
          <w:p>
            <w:r>
              <w:t xml:space="preserve">多条件叠加超过上限</w:t>
            </w:r>
          </w:p>
        </w:tc>
        <w:tc>
          <w:tcPr>
            <w:tcW w:w="1700" w:type="dxa"/>
            <w:vAlign w:val="center"/>
          </w:tcPr>
          <w:p>
            <w:r>
              <w:t xml:space="preserve">6.0</w:t>
            </w:r>
          </w:p>
        </w:tc>
      </w:tr>
    </w:tbl>
    <w:p>
      <w:pPr>
        <w:pStyle w:val="Heading2"/>
      </w:pPr>
      <w:r>
        <w:t xml:space="preserve">D. Blade-Slice 切片融合推理</w:t>
      </w:r>
    </w:p>
    <w:p>
      <w:r>
        <w:t xml:space="preserve">Blade-Slice 不改变模型权重，仅在推理阶段使用。该策略将原图划分为重叠局部窗口，对局部检测结果进行坐标回映射，再与全图预测框进行 NMS 融合，以缓解高分辨率图像缩放造成的小目标信息损失。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d=floor(L(1-ρ)),       L=640, ρ=0.25, d=480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B_fused=NMS(B_full ∪ B_slice, τ)</w:t>
      </w:r>
    </w:p>
    <w:p>
      <w:pPr>
        <w:pStyle w:val="Heading1"/>
      </w:pPr>
      <w:r>
        <w:t xml:space="preserve">IV. 实验与结果设计</w:t>
      </w:r>
    </w:p>
    <w:p>
      <w:pPr>
        <w:pStyle w:val="Heading2"/>
      </w:pPr>
      <w:r>
        <w:t xml:space="preserve">A. 实验环境</w:t>
      </w:r>
    </w:p>
    <w:p>
      <w:pPr>
        <w:pStyle w:val="Caption"/>
        <w:jc w:val="center"/>
      </w:pPr>
      <w:r>
        <w:t xml:space="preserve">表 4  实验环境与训练设置</w:t>
      </w:r>
    </w:p>
    <w:tbl>
      <w:tblPr>
        <w:tblW w:w="5000" w:type="pct"/>
        <w:tblBorders>
          <w:top w:val="single" w:sz="10" w:space="0" w:color="000000"/>
          <w:left w:val="single" w:sz="4" w:space="0" w:color="808080"/>
          <w:bottom w:val="single" w:sz="10" w:space="0" w:color="000000"/>
          <w:right w:val="single" w:sz="4" w:space="0" w:color="808080"/>
          <w:insideH w:val="single" w:sz="4" w:space="0" w:color="A6A6A6"/>
          <w:insideV w:val="single" w:sz="4" w:space="0" w:color="A6A6A6"/>
        </w:tblBorders>
        <w:tblCellMar>
          <w:top w:w="70" w:type="dxa"/>
          <w:left w:w="90" w:type="dxa"/>
          <w:bottom w:w="70" w:type="dxa"/>
          <w:right w:w="90" w:type="dxa"/>
        </w:tblCellMar>
      </w:tblPr>
      <w:tr>
        <w:tc>
          <w:tcPr>
            <w:tcW w:w="30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项目</w:t>
            </w:r>
          </w:p>
        </w:tc>
        <w:tc>
          <w:tcPr>
            <w:tcW w:w="65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设置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操作系统</w:t>
            </w:r>
          </w:p>
        </w:tc>
        <w:tc>
          <w:tcPr>
            <w:tcW w:w="6500" w:type="dxa"/>
            <w:vAlign w:val="center"/>
          </w:tcPr>
          <w:p>
            <w:r>
              <w:t xml:space="preserve">Windows 平台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深度学习框架</w:t>
            </w:r>
          </w:p>
        </w:tc>
        <w:tc>
          <w:tcPr>
            <w:tcW w:w="6500" w:type="dxa"/>
            <w:vAlign w:val="center"/>
          </w:tcPr>
          <w:p>
            <w:r>
              <w:t xml:space="preserve">PyTorch / Ultralytics YOLO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输入尺寸</w:t>
            </w:r>
          </w:p>
        </w:tc>
        <w:tc>
          <w:tcPr>
            <w:tcW w:w="6500" w:type="dxa"/>
            <w:vAlign w:val="center"/>
          </w:tcPr>
          <w:p>
            <w:r>
              <w:t xml:space="preserve">1024 × 1024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优化器</w:t>
            </w:r>
          </w:p>
        </w:tc>
        <w:tc>
          <w:tcPr>
            <w:tcW w:w="6500" w:type="dxa"/>
            <w:vAlign w:val="center"/>
          </w:tcPr>
          <w:p>
            <w:r>
              <w:t xml:space="preserve">AdamW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主要评价集</w:t>
            </w:r>
          </w:p>
        </w:tc>
        <w:tc>
          <w:tcPr>
            <w:tcW w:w="6500" w:type="dxa"/>
            <w:vAlign w:val="center"/>
          </w:tcPr>
          <w:p>
            <w:r>
              <w:t xml:space="preserve">val、test_clean、背景空标注样本</w:t>
            </w:r>
          </w:p>
        </w:tc>
      </w:tr>
      <w:tr>
        <w:tc>
          <w:tcPr>
            <w:tcW w:w="3000" w:type="dxa"/>
            <w:vAlign w:val="center"/>
          </w:tcPr>
          <w:p>
            <w:r>
              <w:t xml:space="preserve">说明</w:t>
            </w:r>
          </w:p>
        </w:tc>
        <w:tc>
          <w:tcPr>
            <w:tcW w:w="6500" w:type="dxa"/>
            <w:vAlign w:val="center"/>
          </w:tcPr>
          <w:p>
            <w:r>
              <w:t xml:space="preserve">GPU 型号、CUDA 和 PyTorch 版本在最终实验完成后统一补充</w:t>
            </w:r>
          </w:p>
        </w:tc>
      </w:tr>
    </w:tbl>
    <w:p>
      <w:pPr>
        <w:pStyle w:val="Heading2"/>
      </w:pPr>
      <w:r>
        <w:t xml:space="preserve">B. 数据集</w:t>
      </w:r>
    </w:p>
    <w:p>
      <w:r>
        <w:t xml:space="preserve">本文实验使用风机叶片缺陷数据集 wind_blade_defect_v05_conservative。数据集包含 crack、hole、spalling 和 corrosion 四类目标，并保留一定数量空标注图像用于背景误检评估。</w:t>
      </w:r>
    </w:p>
    <w:p>
      <w:pPr>
        <w:pStyle w:val="Caption"/>
        <w:jc w:val="center"/>
      </w:pPr>
      <w:r>
        <w:t xml:space="preserve">表 5  数据集划分</w:t>
      </w:r>
    </w:p>
    <w:tbl>
      <w:tblPr>
        <w:tblW w:w="5000" w:type="pct"/>
        <w:tblBorders>
          <w:top w:val="single" w:sz="10" w:space="0" w:color="000000"/>
          <w:left w:val="single" w:sz="4" w:space="0" w:color="808080"/>
          <w:bottom w:val="single" w:sz="10" w:space="0" w:color="000000"/>
          <w:right w:val="single" w:sz="4" w:space="0" w:color="808080"/>
          <w:insideH w:val="single" w:sz="4" w:space="0" w:color="A6A6A6"/>
          <w:insideV w:val="single" w:sz="4" w:space="0" w:color="A6A6A6"/>
        </w:tblBorders>
        <w:tblCellMar>
          <w:top w:w="70" w:type="dxa"/>
          <w:left w:w="90" w:type="dxa"/>
          <w:bottom w:w="70" w:type="dxa"/>
          <w:right w:w="90" w:type="dxa"/>
        </w:tblCellMar>
      </w:tblPr>
      <w:tr>
        <w:tc>
          <w:tcPr>
            <w:tcW w:w="18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Split</w:t>
            </w:r>
          </w:p>
        </w:tc>
        <w:tc>
          <w:tcPr>
            <w:tcW w:w="18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图像数量</w:t>
            </w:r>
          </w:p>
        </w:tc>
        <w:tc>
          <w:tcPr>
            <w:tcW w:w="18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空标注图像</w:t>
            </w:r>
          </w:p>
        </w:tc>
        <w:tc>
          <w:tcPr>
            <w:tcW w:w="45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用途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train</w:t>
            </w:r>
          </w:p>
        </w:tc>
        <w:tc>
          <w:tcPr>
            <w:tcW w:w="1800" w:type="dxa"/>
            <w:vAlign w:val="center"/>
          </w:tcPr>
          <w:p>
            <w:r>
              <w:t xml:space="preserve">9136</w:t>
            </w:r>
          </w:p>
        </w:tc>
        <w:tc>
          <w:tcPr>
            <w:tcW w:w="1800" w:type="dxa"/>
            <w:vAlign w:val="center"/>
          </w:tcPr>
          <w:p>
            <w:r>
              <w:t xml:space="preserve">786</w:t>
            </w:r>
          </w:p>
        </w:tc>
        <w:tc>
          <w:tcPr>
            <w:tcW w:w="4500" w:type="dxa"/>
            <w:vAlign w:val="center"/>
          </w:tcPr>
          <w:p>
            <w:r>
              <w:t xml:space="preserve">模型训练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val</w:t>
            </w:r>
          </w:p>
        </w:tc>
        <w:tc>
          <w:tcPr>
            <w:tcW w:w="1800" w:type="dxa"/>
            <w:vAlign w:val="center"/>
          </w:tcPr>
          <w:p>
            <w:r>
              <w:t xml:space="preserve">571</w:t>
            </w:r>
          </w:p>
        </w:tc>
        <w:tc>
          <w:tcPr>
            <w:tcW w:w="1800" w:type="dxa"/>
            <w:vAlign w:val="center"/>
          </w:tcPr>
          <w:p>
            <w:r>
              <w:t xml:space="preserve">17</w:t>
            </w:r>
          </w:p>
        </w:tc>
        <w:tc>
          <w:tcPr>
            <w:tcW w:w="4500" w:type="dxa"/>
            <w:vAlign w:val="center"/>
          </w:tcPr>
          <w:p>
            <w:r>
              <w:t xml:space="preserve">验证集评估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test_clean</w:t>
            </w:r>
          </w:p>
        </w:tc>
        <w:tc>
          <w:tcPr>
            <w:tcW w:w="1800" w:type="dxa"/>
            <w:vAlign w:val="center"/>
          </w:tcPr>
          <w:p>
            <w:r>
              <w:t xml:space="preserve">543</w:t>
            </w:r>
          </w:p>
        </w:tc>
        <w:tc>
          <w:tcPr>
            <w:tcW w:w="1800" w:type="dxa"/>
            <w:vAlign w:val="center"/>
          </w:tcPr>
          <w:p>
            <w:r>
              <w:t xml:space="preserve">18</w:t>
            </w:r>
          </w:p>
        </w:tc>
        <w:tc>
          <w:tcPr>
            <w:tcW w:w="4500" w:type="dxa"/>
            <w:vAlign w:val="center"/>
          </w:tcPr>
          <w:p>
            <w:r>
              <w:t xml:space="preserve">干净测试集评估</w:t>
            </w:r>
          </w:p>
        </w:tc>
      </w:tr>
    </w:tbl>
    <w:p>
      <w:pPr>
        <w:pStyle w:val="Caption"/>
        <w:jc w:val="center"/>
      </w:pPr>
      <w:r>
        <w:t xml:space="preserve">表 6  类别映射关系</w:t>
      </w:r>
    </w:p>
    <w:tbl>
      <w:tblPr>
        <w:tblW w:w="5000" w:type="pct"/>
        <w:tblBorders>
          <w:top w:val="single" w:sz="10" w:space="0" w:color="000000"/>
          <w:left w:val="single" w:sz="4" w:space="0" w:color="808080"/>
          <w:bottom w:val="single" w:sz="10" w:space="0" w:color="000000"/>
          <w:right w:val="single" w:sz="4" w:space="0" w:color="808080"/>
          <w:insideH w:val="single" w:sz="4" w:space="0" w:color="A6A6A6"/>
          <w:insideV w:val="single" w:sz="4" w:space="0" w:color="A6A6A6"/>
        </w:tblBorders>
        <w:tblCellMar>
          <w:top w:w="70" w:type="dxa"/>
          <w:left w:w="90" w:type="dxa"/>
          <w:bottom w:w="70" w:type="dxa"/>
          <w:right w:w="90" w:type="dxa"/>
        </w:tblCellMar>
      </w:tblPr>
      <w:tr>
        <w:tc>
          <w:tcPr>
            <w:tcW w:w="22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目标类别</w:t>
            </w:r>
          </w:p>
        </w:tc>
        <w:tc>
          <w:tcPr>
            <w:tcW w:w="72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来源类别映射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crack</w:t>
            </w:r>
          </w:p>
        </w:tc>
        <w:tc>
          <w:tcPr>
            <w:tcW w:w="7200" w:type="dxa"/>
            <w:vAlign w:val="center"/>
          </w:tcPr>
          <w:p>
            <w:r>
              <w:t xml:space="preserve">Crack / Scratch / Craze / Hide_craze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corrosion</w:t>
            </w:r>
          </w:p>
        </w:tc>
        <w:tc>
          <w:tcPr>
            <w:tcW w:w="7200" w:type="dxa"/>
            <w:vAlign w:val="center"/>
          </w:tcPr>
          <w:p>
            <w:r>
              <w:t xml:space="preserve">Erosion / Corrosion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spalling</w:t>
            </w:r>
          </w:p>
        </w:tc>
        <w:tc>
          <w:tcPr>
            <w:tcW w:w="7200" w:type="dxa"/>
            <w:vAlign w:val="center"/>
          </w:tcPr>
          <w:p>
            <w:r>
              <w:t xml:space="preserve">Damage / MechanicalDamage / Paintoff / Surface_injure / Chipping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hole</w:t>
            </w:r>
          </w:p>
        </w:tc>
        <w:tc>
          <w:tcPr>
            <w:tcW w:w="7200" w:type="dxa"/>
            <w:vAlign w:val="center"/>
          </w:tcPr>
          <w:p>
            <w:r>
              <w:t xml:space="preserve">Puncture / Hole</w:t>
            </w:r>
          </w:p>
        </w:tc>
      </w:tr>
    </w:tbl>
    <w:p>
      <w:pPr>
        <w:pStyle w:val="Heading2"/>
      </w:pPr>
      <w:r>
        <w:t xml:space="preserve">C. 评价指标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Precision=TP/(TP+FP),       Recall=TP/(TP+FN)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mAP50-95=(1/10)Σ_{τ=0.50:0.05:0.95}mAP_τ</w:t>
      </w:r>
    </w:p>
    <w:p>
      <w:r>
        <w:t xml:space="preserve">除常规检测指标外，本文单独统计空标注图像上的背景误检数 FP_bg，用于判断召回提升是否以误检增加为代价。</w:t>
      </w:r>
    </w:p>
    <w:p>
      <w:pPr>
        <w:pStyle w:val="Heading2"/>
      </w:pPr>
      <w:r>
        <w:t xml:space="preserve">D. 消融实验</w:t>
      </w:r>
    </w:p>
    <w:p>
      <w:r>
        <w:t xml:space="preserve">为了验证各改进模块的有效性，本文设计五组消融实验。A0 为基础模型，A1 至 A4 按照 P2、Shape-Aware Loss、困难样本重加权和 Blade-Slice 的顺序逐步加入。实验流程如图 3 所示。</w:t>
      </w:r>
    </w:p>
    <w:p>
      <w:pPr>
        <w:jc w:val="center"/>
      </w:pPr>
      <w:r>
        <w:drawing>
          <wp:inline distT="0" distB="0" distL="0" distR="0">
            <wp:extent cx="5850000" cy="1920000"/>
            <wp:effectExtent l="0" t="0" r="0" b="0"/>
            <wp:docPr id="22" name="fig_feb_3_experiment_flow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fig_feb_3_experiment_flow.sv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3  消融实验与评价流程</w:t>
      </w:r>
    </w:p>
    <w:p>
      <w:pPr>
        <w:pStyle w:val="Caption"/>
        <w:jc w:val="center"/>
      </w:pPr>
      <w:r>
        <w:t xml:space="preserve">表 7  MSF-YOLO 消融实验设计</w:t>
      </w:r>
    </w:p>
    <w:tbl>
      <w:tblPr>
        <w:tblW w:w="5000" w:type="pct"/>
        <w:tblBorders>
          <w:top w:val="single" w:sz="10" w:space="0" w:color="000000"/>
          <w:left w:val="single" w:sz="4" w:space="0" w:color="808080"/>
          <w:bottom w:val="single" w:sz="10" w:space="0" w:color="000000"/>
          <w:right w:val="single" w:sz="4" w:space="0" w:color="808080"/>
          <w:insideH w:val="single" w:sz="4" w:space="0" w:color="A6A6A6"/>
          <w:insideV w:val="single" w:sz="4" w:space="0" w:color="A6A6A6"/>
        </w:tblBorders>
        <w:tblCellMar>
          <w:top w:w="70" w:type="dxa"/>
          <w:left w:w="90" w:type="dxa"/>
          <w:bottom w:w="70" w:type="dxa"/>
          <w:right w:w="90" w:type="dxa"/>
        </w:tblCellMar>
      </w:tblPr>
      <w:tr>
        <w:tc>
          <w:tcPr>
            <w:tcW w:w="17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模型</w:t>
            </w:r>
          </w:p>
        </w:tc>
        <w:tc>
          <w:tcPr>
            <w:tcW w:w="8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P2</w:t>
            </w:r>
          </w:p>
        </w:tc>
        <w:tc>
          <w:tcPr>
            <w:tcW w:w="13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Shape Loss</w:t>
            </w:r>
          </w:p>
        </w:tc>
        <w:tc>
          <w:tcPr>
            <w:tcW w:w="15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Hard Sampling</w:t>
            </w:r>
          </w:p>
        </w:tc>
        <w:tc>
          <w:tcPr>
            <w:tcW w:w="13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Blade-Slice</w:t>
            </w:r>
          </w:p>
        </w:tc>
        <w:tc>
          <w:tcPr>
            <w:tcW w:w="13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Precision</w:t>
            </w:r>
          </w:p>
        </w:tc>
        <w:tc>
          <w:tcPr>
            <w:tcW w:w="13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Recall</w:t>
            </w:r>
          </w:p>
        </w:tc>
        <w:tc>
          <w:tcPr>
            <w:tcW w:w="15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mAP50-95</w:t>
            </w:r>
          </w:p>
        </w:tc>
        <w:tc>
          <w:tcPr>
            <w:tcW w:w="11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FP_bg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A0 baseline</w:t>
            </w:r>
          </w:p>
        </w:tc>
        <w:tc>
          <w:tcPr>
            <w:tcW w:w="8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5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A1 +P2</w:t>
            </w:r>
          </w:p>
        </w:tc>
        <w:tc>
          <w:tcPr>
            <w:tcW w:w="8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5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A2 +Shape</w:t>
            </w:r>
          </w:p>
        </w:tc>
        <w:tc>
          <w:tcPr>
            <w:tcW w:w="8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√</w:t>
            </w:r>
          </w:p>
        </w:tc>
        <w:tc>
          <w:tcPr>
            <w:tcW w:w="15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A3 +Hard</w:t>
            </w:r>
          </w:p>
        </w:tc>
        <w:tc>
          <w:tcPr>
            <w:tcW w:w="8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√</w:t>
            </w:r>
          </w:p>
        </w:tc>
        <w:tc>
          <w:tcPr>
            <w:tcW w:w="15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A4 +Slice</w:t>
            </w:r>
          </w:p>
        </w:tc>
        <w:tc>
          <w:tcPr>
            <w:tcW w:w="8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√</w:t>
            </w:r>
          </w:p>
        </w:tc>
        <w:tc>
          <w:tcPr>
            <w:tcW w:w="15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</w:tbl>
    <w:p>
      <w:pPr>
        <w:pStyle w:val="Heading2"/>
      </w:pPr>
      <w:r>
        <w:t xml:space="preserve">E. 对比实验与可视化分析</w:t>
      </w:r>
    </w:p>
    <w:p>
      <w:r>
        <w:t xml:space="preserve">在完整消融实验完成后，将 MSF-YOLO 与主流检测模型或项目已有稳定基线进行对比。对比指标包括 Precision、Recall、mAP50、mAP50-95、参数量、FLOPs 和背景误检数。同时选取典型小裂纹、小腐蚀、孔洞和剥落样本进行可视化比较，分析模型在小目标和困难场景中的检测差异。</w:t>
      </w:r>
    </w:p>
    <w:p>
      <w:pPr>
        <w:pStyle w:val="Caption"/>
        <w:jc w:val="center"/>
      </w:pPr>
      <w:r>
        <w:t xml:space="preserve">表 8  不同算法对比实验记录表</w:t>
      </w:r>
    </w:p>
    <w:tbl>
      <w:tblPr>
        <w:tblW w:w="5000" w:type="pct"/>
        <w:tblBorders>
          <w:top w:val="single" w:sz="10" w:space="0" w:color="000000"/>
          <w:left w:val="single" w:sz="4" w:space="0" w:color="808080"/>
          <w:bottom w:val="single" w:sz="10" w:space="0" w:color="000000"/>
          <w:right w:val="single" w:sz="4" w:space="0" w:color="808080"/>
          <w:insideH w:val="single" w:sz="4" w:space="0" w:color="A6A6A6"/>
          <w:insideV w:val="single" w:sz="4" w:space="0" w:color="A6A6A6"/>
        </w:tblBorders>
        <w:tblCellMar>
          <w:top w:w="70" w:type="dxa"/>
          <w:left w:w="90" w:type="dxa"/>
          <w:bottom w:w="70" w:type="dxa"/>
          <w:right w:w="90" w:type="dxa"/>
        </w:tblCellMar>
      </w:tblPr>
      <w:tr>
        <w:tc>
          <w:tcPr>
            <w:tcW w:w="22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模型</w:t>
            </w:r>
          </w:p>
        </w:tc>
        <w:tc>
          <w:tcPr>
            <w:tcW w:w="13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Precision</w:t>
            </w:r>
          </w:p>
        </w:tc>
        <w:tc>
          <w:tcPr>
            <w:tcW w:w="13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Recall</w:t>
            </w:r>
          </w:p>
        </w:tc>
        <w:tc>
          <w:tcPr>
            <w:tcW w:w="13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mAP50</w:t>
            </w:r>
          </w:p>
        </w:tc>
        <w:tc>
          <w:tcPr>
            <w:tcW w:w="15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mAP50-95</w:t>
            </w:r>
          </w:p>
        </w:tc>
        <w:tc>
          <w:tcPr>
            <w:tcW w:w="14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Params(M)</w:t>
            </w:r>
          </w:p>
        </w:tc>
        <w:tc>
          <w:tcPr>
            <w:tcW w:w="14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FLOPs(G)</w:t>
            </w:r>
          </w:p>
        </w:tc>
        <w:tc>
          <w:tcPr>
            <w:tcW w:w="1100" w:type="dxa"/>
            <w:shd w:fill="EDEDED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FP_bg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YOLO baseline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V4 stable baseline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MSF-YOLO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</w:tbl>
    <w:p>
      <w:pPr>
        <w:pStyle w:val="Heading1"/>
      </w:pPr>
      <w:r>
        <w:t xml:space="preserve">V. 结论</w:t>
      </w:r>
    </w:p>
    <w:p>
      <w:r>
        <w:t xml:space="preserve">本文针对风机叶片缺陷检测中的小目标漏检、细长缺陷定位不稳定和困难类别学习不足等问题，提出 MSF-YOLO 检测方法。该方法通过 P2 检测头增强浅层小目标特征表达，通过 Shape-Aware Loss 提高小面积和细长目标的定位权重，通过困难样本重加权改善训练样本分布，并通过 Blade-Slice 在推理阶段补偿局部尺度信息。后续将根据完整消融实验和对比实验结果，进一步分析各模块的实际贡献及其适用边界。</w:t>
      </w:r>
    </w:p>
    <w:sectPr>
      <w:pgSz w:w="11906" w:h="16838"/>
      <w:pgMar w:top="1150" w:right="1150" w:bottom="1150" w:left="1150" w:header="720" w:footer="720" w:gutter="0"/>
      <w:cols w:space="72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0"/>
      </w:rPr>
    </w:rPrDefault>
    <w:pPrDefault>
      <w:pPr>
        <w:spacing w:line="330" w:lineRule="auto" w:before="0" w:after="80"/>
        <w:jc w:val="both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0"/>
    </w:rPr>
  </w:style>
  <w:style w:type="paragraph" w:styleId="Title">
    <w:name w:val="Title"/>
    <w:qFormat/>
    <w:pPr>
      <w:jc w:val="center"/>
      <w:spacing w:before="160" w:after="120"/>
    </w:pPr>
    <w:rPr>
      <w:rFonts w:ascii="Times New Roman" w:hAnsi="Times New Roman" w:eastAsia="黑体"/>
      <w:b/>
      <w:sz w:val="30"/>
    </w:rPr>
  </w:style>
  <w:style w:type="paragraph" w:styleId="Subtitle">
    <w:name w:val="Subtitle"/>
    <w:qFormat/>
    <w:pPr>
      <w:jc w:val="center"/>
      <w:spacing w:after="100"/>
    </w:pPr>
    <w:rPr>
      <w:rFonts w:ascii="Times New Roman" w:hAnsi="Times New Roman" w:eastAsia="宋体"/>
      <w:sz w:val="18"/>
    </w:rPr>
  </w:style>
  <w:style w:type="paragraph" w:styleId="Heading1">
    <w:name w:val="heading 1"/>
    <w:basedOn w:val="Normal"/>
    <w:qFormat/>
    <w:pPr>
      <w:keepNext/>
      <w:spacing w:before="220" w:after="100"/>
    </w:pPr>
    <w:rPr>
      <w:rFonts w:ascii="Times New Roman" w:hAnsi="Times New Roman" w:eastAsia="黑体"/>
      <w:b/>
      <w:sz w:val="23"/>
    </w:rPr>
  </w:style>
  <w:style w:type="paragraph" w:styleId="Heading2">
    <w:name w:val="heading 2"/>
    <w:basedOn w:val="Normal"/>
    <w:qFormat/>
    <w:pPr>
      <w:keepNext/>
      <w:spacing w:before="150" w:after="70"/>
    </w:pPr>
    <w:rPr>
      <w:rFonts w:ascii="Times New Roman" w:hAnsi="Times New Roman" w:eastAsia="黑体"/>
      <w:b/>
      <w:sz w:val="21"/>
    </w:rPr>
  </w:style>
  <w:style w:type="paragraph" w:styleId="Caption">
    <w:name w:val="Caption"/>
    <w:basedOn w:val="Normal"/>
    <w:qFormat/>
    <w:pPr>
      <w:jc w:val="center"/>
      <w:spacing w:before="60" w:after="100"/>
    </w:pPr>
    <w:rPr>
      <w:rFonts w:ascii="Times New Roman" w:hAnsi="Times New Roman" w:eastAsia="宋体"/>
      <w:sz w:val="18"/>
    </w:rPr>
  </w:style>
  <w:style w:type="paragraph" w:styleId="Formula">
    <w:name w:val="Formula"/>
    <w:basedOn w:val="Normal"/>
    <w:qFormat/>
    <w:pPr>
      <w:jc w:val="center"/>
      <w:spacing w:before="70" w:after="70"/>
    </w:pPr>
    <w:rPr>
      <w:rFonts w:ascii="Cambria Math" w:hAnsi="Cambria Math" w:eastAsia="Cambria Math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20" Type="http://schemas.openxmlformats.org/officeDocument/2006/relationships/image" Target="media/fig_feb_1_msf_yolo_network.svg"/>
  <Relationship Id="rId21" Type="http://schemas.openxmlformats.org/officeDocument/2006/relationships/image" Target="media/fig_feb_2_msf_yolo_modules.svg"/>
  <Relationship Id="rId22" Type="http://schemas.openxmlformats.org/officeDocument/2006/relationships/image" Target="media/fig_feb_3_experiment_flow.svg"/>
</Relationships>

</file>