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MSF-YOLO：面向风机叶片缺陷检测的多尺度形态感知算法</w:t>
      </w:r>
    </w:p>
    <w:p>
      <w:pPr>
        <w:pStyle w:val="Subtitle"/>
      </w:pPr>
      <w:r>
        <w:t xml:space="preserve">彩色结构图增强版</w:t>
      </w:r>
    </w:p>
    <w:p>
      <w:pPr>
        <w:pStyle w:val="Heading1"/>
      </w:pPr>
      <w:r>
        <w:t xml:space="preserve">摘要</w:t>
      </w:r>
    </w:p>
    <w:p>
      <w:r>
        <w:t xml:space="preserve">为解决风机叶片巡检图像中小尺度缺陷漏检、细长缺陷定位不稳定以及困难类别学习不足等问题，本文提出一种多尺度形态感知检测算法 MSF-YOLO。首先，在 YOLO 检测框架中引入 P2 高分辨率检测分支，增强小裂纹、小腐蚀和小孔洞在浅层特征图上的表达能力；其次，设计 Shape-Aware 形态感知损失，根据目标框面积占比和长宽比动态调整定位损失权重；最后，结合困难样本重加权训练和 Blade-Slice 重叠切片融合推理，从训练分布和推理尺度两个层面提升模型对复杂叶片缺陷的检测稳定性。</w:t>
      </w:r>
    </w:p>
    <w:p>
      <w:r>
        <w:t xml:space="preserve">关键词：风机叶片；缺陷检测；YOLO；小目标检测；Shape-Aware Loss；Blade-Slice</w:t>
      </w:r>
    </w:p>
    <w:p>
      <w:pPr>
        <w:pStyle w:val="Heading1"/>
      </w:pPr>
      <w:r>
        <w:t xml:space="preserve">一、研究背景与难点创新</w:t>
      </w:r>
    </w:p>
    <w:p>
      <w:r>
        <w:t xml:space="preserve">风机叶片长期运行于复杂自然环境中，表面容易出现裂纹、孔洞、腐蚀和剥落等缺陷。这些缺陷在无人机巡检图像中通常面积较小、形态不规则，并且容易受到背景纹理、光照和叶片表面污渍干扰。因此，风机叶片缺陷检测不仅要求模型具有较高检测精度，也要求模型在小目标召回、困难类别识别和背景误检控制之间保持平衡。</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900" w:type="dxa"/>
            <w:shd w:fill="D9EAF7"/>
            <w:vAlign w:val="center"/>
          </w:tcPr>
          <w:p>
            <w:r>
              <w:rPr>
                <w:b/>
              </w:rPr>
              <w:t xml:space="preserve">序号</w:t>
            </w:r>
          </w:p>
        </w:tc>
        <w:tc>
          <w:tcPr>
            <w:tcW w:w="2200" w:type="dxa"/>
            <w:shd w:fill="D9EAF7"/>
            <w:vAlign w:val="center"/>
          </w:tcPr>
          <w:p>
            <w:r>
              <w:rPr>
                <w:b/>
              </w:rPr>
              <w:t xml:space="preserve">难点</w:t>
            </w:r>
          </w:p>
        </w:tc>
        <w:tc>
          <w:tcPr>
            <w:tcW w:w="4800" w:type="dxa"/>
            <w:shd w:fill="D9EAF7"/>
            <w:vAlign w:val="center"/>
          </w:tcPr>
          <w:p>
            <w:r>
              <w:rPr>
                <w:b/>
              </w:rPr>
              <w:t xml:space="preserve">具体表现</w:t>
            </w:r>
          </w:p>
        </w:tc>
        <w:tc>
          <w:tcPr>
            <w:tcW w:w="3000" w:type="dxa"/>
            <w:shd w:fill="D9EAF7"/>
            <w:vAlign w:val="center"/>
          </w:tcPr>
          <w:p>
            <w:r>
              <w:rPr>
                <w:b/>
              </w:rPr>
              <w:t xml:space="preserve">对应改进</w:t>
            </w:r>
          </w:p>
        </w:tc>
      </w:tr>
      <w:tr>
        <w:tc>
          <w:tcPr>
            <w:tcW w:w="900" w:type="dxa"/>
            <w:vAlign w:val="center"/>
          </w:tcPr>
          <w:p>
            <w:r>
              <w:t xml:space="preserve">1</w:t>
            </w:r>
          </w:p>
        </w:tc>
        <w:tc>
          <w:tcPr>
            <w:tcW w:w="2200" w:type="dxa"/>
            <w:vAlign w:val="center"/>
          </w:tcPr>
          <w:p>
            <w:r>
              <w:t xml:space="preserve">小尺度缺陷易退化</w:t>
            </w:r>
          </w:p>
        </w:tc>
        <w:tc>
          <w:tcPr>
            <w:tcW w:w="4800" w:type="dxa"/>
            <w:vAlign w:val="center"/>
          </w:tcPr>
          <w:p>
            <w:r>
              <w:t xml:space="preserve">远距离裂纹、小孔洞和小腐蚀在整图缩放后仅占少量像素</w:t>
            </w:r>
          </w:p>
        </w:tc>
        <w:tc>
          <w:tcPr>
            <w:tcW w:w="3000" w:type="dxa"/>
            <w:vAlign w:val="center"/>
          </w:tcPr>
          <w:p>
            <w:r>
              <w:t xml:space="preserve">P2 高分辨率检测头</w:t>
            </w:r>
          </w:p>
        </w:tc>
      </w:tr>
      <w:tr>
        <w:tc>
          <w:tcPr>
            <w:tcW w:w="900" w:type="dxa"/>
            <w:vAlign w:val="center"/>
          </w:tcPr>
          <w:p>
            <w:r>
              <w:t xml:space="preserve">2</w:t>
            </w:r>
          </w:p>
        </w:tc>
        <w:tc>
          <w:tcPr>
            <w:tcW w:w="2200" w:type="dxa"/>
            <w:vAlign w:val="center"/>
          </w:tcPr>
          <w:p>
            <w:r>
              <w:t xml:space="preserve">缺陷形态差异大</w:t>
            </w:r>
          </w:p>
        </w:tc>
        <w:tc>
          <w:tcPr>
            <w:tcW w:w="4800" w:type="dxa"/>
            <w:vAlign w:val="center"/>
          </w:tcPr>
          <w:p>
            <w:r>
              <w:t xml:space="preserve">裂纹细长，腐蚀和剥落边界不规则</w:t>
            </w:r>
          </w:p>
        </w:tc>
        <w:tc>
          <w:tcPr>
            <w:tcW w:w="3000" w:type="dxa"/>
            <w:vAlign w:val="center"/>
          </w:tcPr>
          <w:p>
            <w:r>
              <w:t xml:space="preserve">Shape-Aware 形态感知损失</w:t>
            </w:r>
          </w:p>
        </w:tc>
      </w:tr>
      <w:tr>
        <w:tc>
          <w:tcPr>
            <w:tcW w:w="900" w:type="dxa"/>
            <w:vAlign w:val="center"/>
          </w:tcPr>
          <w:p>
            <w:r>
              <w:t xml:space="preserve">3</w:t>
            </w:r>
          </w:p>
        </w:tc>
        <w:tc>
          <w:tcPr>
            <w:tcW w:w="2200" w:type="dxa"/>
            <w:vAlign w:val="center"/>
          </w:tcPr>
          <w:p>
            <w:r>
              <w:t xml:space="preserve">困难类别学习不足</w:t>
            </w:r>
          </w:p>
        </w:tc>
        <w:tc>
          <w:tcPr>
            <w:tcW w:w="4800" w:type="dxa"/>
            <w:vAlign w:val="center"/>
          </w:tcPr>
          <w:p>
            <w:r>
              <w:t xml:space="preserve">crack、corrosion 更容易低置信度或漏检</w:t>
            </w:r>
          </w:p>
        </w:tc>
        <w:tc>
          <w:tcPr>
            <w:tcW w:w="3000" w:type="dxa"/>
            <w:vAlign w:val="center"/>
          </w:tcPr>
          <w:p>
            <w:r>
              <w:t xml:space="preserve">困难样本重加权与类别权重</w:t>
            </w:r>
          </w:p>
        </w:tc>
      </w:tr>
      <w:tr>
        <w:tc>
          <w:tcPr>
            <w:tcW w:w="900" w:type="dxa"/>
            <w:vAlign w:val="center"/>
          </w:tcPr>
          <w:p>
            <w:r>
              <w:t xml:space="preserve">4</w:t>
            </w:r>
          </w:p>
        </w:tc>
        <w:tc>
          <w:tcPr>
            <w:tcW w:w="2200" w:type="dxa"/>
            <w:vAlign w:val="center"/>
          </w:tcPr>
          <w:p>
            <w:r>
              <w:t xml:space="preserve">整图推理细节损失</w:t>
            </w:r>
          </w:p>
        </w:tc>
        <w:tc>
          <w:tcPr>
            <w:tcW w:w="4800" w:type="dxa"/>
            <w:vAlign w:val="center"/>
          </w:tcPr>
          <w:p>
            <w:r>
              <w:t xml:space="preserve">高分辨率图像缩放后局部细节弱化</w:t>
            </w:r>
          </w:p>
        </w:tc>
        <w:tc>
          <w:tcPr>
            <w:tcW w:w="3000" w:type="dxa"/>
            <w:vAlign w:val="center"/>
          </w:tcPr>
          <w:p>
            <w:r>
              <w:t xml:space="preserve">Blade-Slice 切片融合推理</w:t>
            </w:r>
          </w:p>
        </w:tc>
      </w:tr>
    </w:tbl>
    <w:p>
      <w:pPr>
        <w:pStyle w:val="Caption"/>
        <w:jc w:val="center"/>
      </w:pPr>
      <w:r>
        <w:t xml:space="preserve">表 1  风机叶片缺陷检测难点与对应改进</w:t>
      </w:r>
    </w:p>
    <w:p>
      <w:pPr>
        <w:pStyle w:val="Heading1"/>
      </w:pPr>
      <w:r>
        <w:t xml:space="preserve">二、MSF-YOLO 网络结构</w:t>
      </w:r>
    </w:p>
    <w:p>
      <w:r>
        <w:t xml:space="preserve">MSF-YOLO 的总体技术路线如图 1 所示。训练阶段，P2 检测头、Shape-Aware Loss、困难样本重加权和类别权重共同作用于模型学习过程；推理阶段，Blade-Slice 作为独立尺度补偿策略参与检测结果融合。</w:t>
      </w:r>
    </w:p>
    <w:p>
      <w:pPr>
        <w:jc w:val="center"/>
      </w:pPr>
      <w:r>
        <w:drawing>
          <wp:inline distT="0" distB="0" distL="0" distR="0">
            <wp:extent cx="5760000" cy="3420000"/>
            <wp:effectExtent l="0" t="0" r="0" b="0"/>
            <wp:docPr id="30" name="fig_1_msf_yolo_framework.svg"/>
            <wp:cNvGraphicFramePr>
              <a:graphicFrameLocks noChangeAspect="1"/>
            </wp:cNvGraphicFramePr>
            <a:graphic>
              <a:graphicData uri="http://schemas.openxmlformats.org/drawingml/2006/picture">
                <pic:pic>
                  <pic:nvPicPr>
                    <pic:cNvPr id="30" name="fig_1_msf_yolo_framework.svg"/>
                    <pic:cNvPicPr/>
                  </pic:nvPicPr>
                  <pic:blipFill>
                    <a:blip r:embed="rId30"/>
                    <a:stretch>
                      <a:fillRect/>
                    </a:stretch>
                  </pic:blipFill>
                  <pic:spPr>
                    <a:xfrm>
                      <a:off x="0" y="0"/>
                      <a:ext cx="5760000" cy="3420000"/>
                    </a:xfrm>
                    <a:prstGeom prst="rect">
                      <a:avLst/>
                    </a:prstGeom>
                  </pic:spPr>
                </pic:pic>
              </a:graphicData>
            </a:graphic>
          </wp:inline>
        </w:drawing>
      </w:r>
    </w:p>
    <w:p>
      <w:pPr>
        <w:pStyle w:val="Caption"/>
        <w:jc w:val="center"/>
      </w:pPr>
      <w:r>
        <w:t xml:space="preserve">图 1  MSF-YOLO 总体框架</w:t>
      </w:r>
    </w:p>
    <w:p>
      <w:r>
        <w:t xml:space="preserve">为了更清晰地说明本文对 YOLO 检测结构的改进，图 2 给出了 MSF-YOLO 的网络结构模型。图中蓝色模块表示常规卷积结构，黄色模块表示本文强调的小目标检测相关结构，绿色和青色模块表示特征聚合与融合，橙色模块表示检测头，紫色模块表示形态感知损失。</w:t>
      </w:r>
    </w:p>
    <w:p>
      <w:pPr>
        <w:jc w:val="center"/>
      </w:pPr>
      <w:r>
        <w:drawing>
          <wp:inline distT="0" distB="0" distL="0" distR="0">
            <wp:extent cx="5900000" cy="3870000"/>
            <wp:effectExtent l="0" t="0" r="0" b="0"/>
            <wp:docPr id="31" name="fig_color_1_msf_yolo_network_detail.svg"/>
            <wp:cNvGraphicFramePr>
              <a:graphicFrameLocks noChangeAspect="1"/>
            </wp:cNvGraphicFramePr>
            <a:graphic>
              <a:graphicData uri="http://schemas.openxmlformats.org/drawingml/2006/picture">
                <pic:pic>
                  <pic:nvPicPr>
                    <pic:cNvPr id="31" name="fig_color_1_msf_yolo_network_detail.svg"/>
                    <pic:cNvPicPr/>
                  </pic:nvPicPr>
                  <pic:blipFill>
                    <a:blip r:embed="rId31"/>
                    <a:stretch>
                      <a:fillRect/>
                    </a:stretch>
                  </pic:blipFill>
                  <pic:spPr>
                    <a:xfrm>
                      <a:off x="0" y="0"/>
                      <a:ext cx="5900000" cy="3870000"/>
                    </a:xfrm>
                    <a:prstGeom prst="rect">
                      <a:avLst/>
                    </a:prstGeom>
                  </pic:spPr>
                </pic:pic>
              </a:graphicData>
            </a:graphic>
          </wp:inline>
        </w:drawing>
      </w:r>
    </w:p>
    <w:p>
      <w:pPr>
        <w:pStyle w:val="Caption"/>
        <w:jc w:val="center"/>
      </w:pPr>
      <w:r>
        <w:t xml:space="preserve">图 2  MSF-YOLO 改进网络结构模型</w:t>
      </w:r>
    </w:p>
    <w:p>
      <w:pPr>
        <w:pStyle w:val="Formula"/>
        <w:jc w:val="center"/>
      </w:pPr>
      <w:r>
        <w:rPr>
          <w:rFonts w:ascii="Cambria Math" w:hAnsi="Cambria Math" w:eastAsia="Cambria Math"/>
          <w:sz w:val="21"/>
        </w:rPr>
        <w:t xml:space="preserve">θ* = arg min_θ E_{i~p}[L_det(I_i,Y_i;θ,q)]</w:t>
      </w:r>
    </w:p>
    <w:p>
      <w:r>
        <w:t xml:space="preserve">其中，I_i 表示输入图像，Y_i 表示标注信息，p_i 表示困难样本重加权后的采样概率，q_i 表示由目标面积和长宽比计算得到的形态权重。</w:t>
      </w:r>
    </w:p>
    <w:p>
      <w:pPr>
        <w:pStyle w:val="Heading1"/>
      </w:pPr>
      <w:r>
        <w:t xml:space="preserve">三、算法改进模块</w:t>
      </w:r>
    </w:p>
    <w:p>
      <w:pPr>
        <w:pStyle w:val="Heading2"/>
      </w:pPr>
      <w:r>
        <w:t xml:space="preserve">1. P2 小目标检测头</w:t>
      </w:r>
    </w:p>
    <w:p>
      <w:r>
        <w:t xml:space="preserve">常规 YOLO 检测头通常以 P3、P4、P5 为主要预测层，最小检测 stride 为 8。对于风机叶片中的远距离裂纹和小面积腐蚀，目标在深层特征图中容易被压缩为极少数响应单元。因此，本文增加 P2 检测头，使模型在 stride=4 的浅层高分辨率特征图上直接进行小目标预测。</w:t>
      </w:r>
    </w:p>
    <w:p>
      <w:pPr>
        <w:jc w:val="center"/>
      </w:pPr>
      <w:r>
        <w:drawing>
          <wp:inline distT="0" distB="0" distL="0" distR="0">
            <wp:extent cx="5760000" cy="2300000"/>
            <wp:effectExtent l="0" t="0" r="0" b="0"/>
            <wp:docPr id="32" name="fig_color_2_p2_head_structure.svg"/>
            <wp:cNvGraphicFramePr>
              <a:graphicFrameLocks noChangeAspect="1"/>
            </wp:cNvGraphicFramePr>
            <a:graphic>
              <a:graphicData uri="http://schemas.openxmlformats.org/drawingml/2006/picture">
                <pic:pic>
                  <pic:nvPicPr>
                    <pic:cNvPr id="32" name="fig_color_2_p2_head_structure.svg"/>
                    <pic:cNvPicPr/>
                  </pic:nvPicPr>
                  <pic:blipFill>
                    <a:blip r:embed="rId32"/>
                    <a:stretch>
                      <a:fillRect/>
                    </a:stretch>
                  </pic:blipFill>
                  <pic:spPr>
                    <a:xfrm>
                      <a:off x="0" y="0"/>
                      <a:ext cx="5760000" cy="2300000"/>
                    </a:xfrm>
                    <a:prstGeom prst="rect">
                      <a:avLst/>
                    </a:prstGeom>
                  </pic:spPr>
                </pic:pic>
              </a:graphicData>
            </a:graphic>
          </wp:inline>
        </w:drawing>
      </w:r>
    </w:p>
    <w:p>
      <w:pPr>
        <w:pStyle w:val="Caption"/>
        <w:jc w:val="center"/>
      </w:pPr>
      <w:r>
        <w:t xml:space="preserve">图 3  P2 小目标检测头结构</w:t>
      </w:r>
    </w:p>
    <w:p>
      <w:pPr>
        <w:pStyle w:val="Formula"/>
        <w:jc w:val="center"/>
      </w:pPr>
      <w:r>
        <w:rPr>
          <w:rFonts w:ascii="Cambria Math" w:hAnsi="Cambria Math" w:eastAsia="Cambria Math"/>
          <w:sz w:val="21"/>
        </w:rPr>
        <w:t xml:space="preserve">F_l ∈ R^{C_l × ceil(H/s_l) × ceil(W/s_l)}</w:t>
      </w:r>
    </w:p>
    <w:p>
      <w:pPr>
        <w:pStyle w:val="Formula"/>
        <w:jc w:val="center"/>
      </w:pPr>
      <w:r>
        <w:rPr>
          <w:rFonts w:ascii="Cambria Math" w:hAnsi="Cambria Math" w:eastAsia="Cambria Math"/>
          <w:sz w:val="21"/>
        </w:rPr>
        <w:t xml:space="preserve">s_P2=4, s_P3=8, s_P4=16, s_P5=32</w:t>
      </w:r>
    </w:p>
    <w:p>
      <w:pPr>
        <w:pStyle w:val="Formula"/>
        <w:jc w:val="center"/>
      </w:pPr>
      <w:r>
        <w:rPr>
          <w:rFonts w:ascii="Cambria Math" w:hAnsi="Cambria Math" w:eastAsia="Cambria Math"/>
          <w:sz w:val="21"/>
        </w:rPr>
        <w:t xml:space="preserve">n_cell(b,l)=sqrt(w_bh_b)/s_l</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500" w:type="dxa"/>
            <w:shd w:fill="D9EAF7"/>
            <w:vAlign w:val="center"/>
          </w:tcPr>
          <w:p>
            <w:r>
              <w:rPr>
                <w:b/>
              </w:rPr>
              <w:t xml:space="preserve">检测层</w:t>
            </w:r>
          </w:p>
        </w:tc>
        <w:tc>
          <w:tcPr>
            <w:tcW w:w="1200" w:type="dxa"/>
            <w:shd w:fill="D9EAF7"/>
            <w:vAlign w:val="center"/>
          </w:tcPr>
          <w:p>
            <w:r>
              <w:rPr>
                <w:b/>
              </w:rPr>
              <w:t xml:space="preserve">stride</w:t>
            </w:r>
          </w:p>
        </w:tc>
        <w:tc>
          <w:tcPr>
            <w:tcW w:w="3000" w:type="dxa"/>
            <w:shd w:fill="D9EAF7"/>
            <w:vAlign w:val="center"/>
          </w:tcPr>
          <w:p>
            <w:r>
              <w:rPr>
                <w:b/>
              </w:rPr>
              <w:t xml:space="preserve">1024 输入下特征图</w:t>
            </w:r>
          </w:p>
        </w:tc>
        <w:tc>
          <w:tcPr>
            <w:tcW w:w="4600" w:type="dxa"/>
            <w:shd w:fill="D9EAF7"/>
            <w:vAlign w:val="center"/>
          </w:tcPr>
          <w:p>
            <w:r>
              <w:rPr>
                <w:b/>
              </w:rPr>
              <w:t xml:space="preserve">主要关注对象</w:t>
            </w:r>
          </w:p>
        </w:tc>
      </w:tr>
      <w:tr>
        <w:tc>
          <w:tcPr>
            <w:tcW w:w="1500" w:type="dxa"/>
            <w:vAlign w:val="center"/>
          </w:tcPr>
          <w:p>
            <w:r>
              <w:t xml:space="preserve">P2</w:t>
            </w:r>
          </w:p>
        </w:tc>
        <w:tc>
          <w:tcPr>
            <w:tcW w:w="1200" w:type="dxa"/>
            <w:vAlign w:val="center"/>
          </w:tcPr>
          <w:p>
            <w:r>
              <w:t xml:space="preserve">4</w:t>
            </w:r>
          </w:p>
        </w:tc>
        <w:tc>
          <w:tcPr>
            <w:tcW w:w="3000" w:type="dxa"/>
            <w:vAlign w:val="center"/>
          </w:tcPr>
          <w:p>
            <w:r>
              <w:t xml:space="preserve">256 × 256</w:t>
            </w:r>
          </w:p>
        </w:tc>
        <w:tc>
          <w:tcPr>
            <w:tcW w:w="4600" w:type="dxa"/>
            <w:vAlign w:val="center"/>
          </w:tcPr>
          <w:p>
            <w:r>
              <w:t xml:space="preserve">小裂纹、小腐蚀、小孔洞</w:t>
            </w:r>
          </w:p>
        </w:tc>
      </w:tr>
      <w:tr>
        <w:tc>
          <w:tcPr>
            <w:tcW w:w="1500" w:type="dxa"/>
            <w:vAlign w:val="center"/>
          </w:tcPr>
          <w:p>
            <w:r>
              <w:t xml:space="preserve">P3</w:t>
            </w:r>
          </w:p>
        </w:tc>
        <w:tc>
          <w:tcPr>
            <w:tcW w:w="1200" w:type="dxa"/>
            <w:vAlign w:val="center"/>
          </w:tcPr>
          <w:p>
            <w:r>
              <w:t xml:space="preserve">8</w:t>
            </w:r>
          </w:p>
        </w:tc>
        <w:tc>
          <w:tcPr>
            <w:tcW w:w="3000" w:type="dxa"/>
            <w:vAlign w:val="center"/>
          </w:tcPr>
          <w:p>
            <w:r>
              <w:t xml:space="preserve">128 × 128</w:t>
            </w:r>
          </w:p>
        </w:tc>
        <w:tc>
          <w:tcPr>
            <w:tcW w:w="4600" w:type="dxa"/>
            <w:vAlign w:val="center"/>
          </w:tcPr>
          <w:p>
            <w:r>
              <w:t xml:space="preserve">小目标和中等目标</w:t>
            </w:r>
          </w:p>
        </w:tc>
      </w:tr>
      <w:tr>
        <w:tc>
          <w:tcPr>
            <w:tcW w:w="1500" w:type="dxa"/>
            <w:vAlign w:val="center"/>
          </w:tcPr>
          <w:p>
            <w:r>
              <w:t xml:space="preserve">P4</w:t>
            </w:r>
          </w:p>
        </w:tc>
        <w:tc>
          <w:tcPr>
            <w:tcW w:w="1200" w:type="dxa"/>
            <w:vAlign w:val="center"/>
          </w:tcPr>
          <w:p>
            <w:r>
              <w:t xml:space="preserve">16</w:t>
            </w:r>
          </w:p>
        </w:tc>
        <w:tc>
          <w:tcPr>
            <w:tcW w:w="3000" w:type="dxa"/>
            <w:vAlign w:val="center"/>
          </w:tcPr>
          <w:p>
            <w:r>
              <w:t xml:space="preserve">64 × 64</w:t>
            </w:r>
          </w:p>
        </w:tc>
        <w:tc>
          <w:tcPr>
            <w:tcW w:w="4600" w:type="dxa"/>
            <w:vAlign w:val="center"/>
          </w:tcPr>
          <w:p>
            <w:r>
              <w:t xml:space="preserve">中等目标</w:t>
            </w:r>
          </w:p>
        </w:tc>
      </w:tr>
      <w:tr>
        <w:tc>
          <w:tcPr>
            <w:tcW w:w="1500" w:type="dxa"/>
            <w:vAlign w:val="center"/>
          </w:tcPr>
          <w:p>
            <w:r>
              <w:t xml:space="preserve">P5</w:t>
            </w:r>
          </w:p>
        </w:tc>
        <w:tc>
          <w:tcPr>
            <w:tcW w:w="1200" w:type="dxa"/>
            <w:vAlign w:val="center"/>
          </w:tcPr>
          <w:p>
            <w:r>
              <w:t xml:space="preserve">32</w:t>
            </w:r>
          </w:p>
        </w:tc>
        <w:tc>
          <w:tcPr>
            <w:tcW w:w="3000" w:type="dxa"/>
            <w:vAlign w:val="center"/>
          </w:tcPr>
          <w:p>
            <w:r>
              <w:t xml:space="preserve">32 × 32</w:t>
            </w:r>
          </w:p>
        </w:tc>
        <w:tc>
          <w:tcPr>
            <w:tcW w:w="4600" w:type="dxa"/>
            <w:vAlign w:val="center"/>
          </w:tcPr>
          <w:p>
            <w:r>
              <w:t xml:space="preserve">大目标和强语义目标</w:t>
            </w:r>
          </w:p>
        </w:tc>
      </w:tr>
    </w:tbl>
    <w:p>
      <w:pPr>
        <w:pStyle w:val="Caption"/>
        <w:jc w:val="center"/>
      </w:pPr>
      <w:r>
        <w:t xml:space="preserve">表 2  MSF-YOLO 多尺度检测层设置</w:t>
      </w:r>
    </w:p>
    <w:p>
      <w:pPr>
        <w:pStyle w:val="Heading2"/>
      </w:pPr>
      <w:r>
        <w:t xml:space="preserve">2. Shape-Aware 形态感知损失</w:t>
      </w:r>
    </w:p>
    <w:p>
      <w:r>
        <w:t xml:space="preserve">风机叶片缺陷的几何形态差异明显。裂纹通常具有较大的长宽比，而小腐蚀和小孔洞具有较低的面积占比。为使这些目标在训练中获得更高定位优先级，本文将目标框面积占比和长宽比转化为损失权重。</w:t>
      </w:r>
    </w:p>
    <w:p>
      <w:pPr>
        <w:jc w:val="center"/>
      </w:pPr>
      <w:r>
        <w:drawing>
          <wp:inline distT="0" distB="0" distL="0" distR="0">
            <wp:extent cx="5760000" cy="2770000"/>
            <wp:effectExtent l="0" t="0" r="0" b="0"/>
            <wp:docPr id="33" name="fig_color_3_shape_aware_formula.svg"/>
            <wp:cNvGraphicFramePr>
              <a:graphicFrameLocks noChangeAspect="1"/>
            </wp:cNvGraphicFramePr>
            <a:graphic>
              <a:graphicData uri="http://schemas.openxmlformats.org/drawingml/2006/picture">
                <pic:pic>
                  <pic:nvPicPr>
                    <pic:cNvPr id="33" name="fig_color_3_shape_aware_formula.svg"/>
                    <pic:cNvPicPr/>
                  </pic:nvPicPr>
                  <pic:blipFill>
                    <a:blip r:embed="rId33"/>
                    <a:stretch>
                      <a:fillRect/>
                    </a:stretch>
                  </pic:blipFill>
                  <pic:spPr>
                    <a:xfrm>
                      <a:off x="0" y="0"/>
                      <a:ext cx="5760000" cy="2770000"/>
                    </a:xfrm>
                    <a:prstGeom prst="rect">
                      <a:avLst/>
                    </a:prstGeom>
                  </pic:spPr>
                </pic:pic>
              </a:graphicData>
            </a:graphic>
          </wp:inline>
        </w:drawing>
      </w:r>
    </w:p>
    <w:p>
      <w:pPr>
        <w:pStyle w:val="Caption"/>
        <w:jc w:val="center"/>
      </w:pPr>
      <w:r>
        <w:t xml:space="preserve">图 4  Shape-Aware Loss 公式结构</w:t>
      </w:r>
    </w:p>
    <w:p>
      <w:pPr>
        <w:jc w:val="center"/>
      </w:pPr>
      <w:r>
        <w:drawing>
          <wp:inline distT="0" distB="0" distL="0" distR="0">
            <wp:extent cx="5760000" cy="2930000"/>
            <wp:effectExtent l="0" t="0" r="0" b="0"/>
            <wp:docPr id="34" name="fig_2_shape_aware_loss.svg"/>
            <wp:cNvGraphicFramePr>
              <a:graphicFrameLocks noChangeAspect="1"/>
            </wp:cNvGraphicFramePr>
            <a:graphic>
              <a:graphicData uri="http://schemas.openxmlformats.org/drawingml/2006/picture">
                <pic:pic>
                  <pic:nvPicPr>
                    <pic:cNvPr id="34" name="fig_2_shape_aware_loss.svg"/>
                    <pic:cNvPicPr/>
                  </pic:nvPicPr>
                  <pic:blipFill>
                    <a:blip r:embed="rId34"/>
                    <a:stretch>
                      <a:fillRect/>
                    </a:stretch>
                  </pic:blipFill>
                  <pic:spPr>
                    <a:xfrm>
                      <a:off x="0" y="0"/>
                      <a:ext cx="5760000" cy="2930000"/>
                    </a:xfrm>
                    <a:prstGeom prst="rect">
                      <a:avLst/>
                    </a:prstGeom>
                  </pic:spPr>
                </pic:pic>
              </a:graphicData>
            </a:graphic>
          </wp:inline>
        </w:drawing>
      </w:r>
    </w:p>
    <w:p>
      <w:pPr>
        <w:pStyle w:val="Caption"/>
        <w:jc w:val="center"/>
      </w:pPr>
      <w:r>
        <w:t xml:space="preserve">图 5  Shape-Aware Loss 权重计算流程</w:t>
      </w:r>
    </w:p>
    <w:p>
      <w:pPr>
        <w:pStyle w:val="Formula"/>
        <w:jc w:val="center"/>
      </w:pPr>
      <w:r>
        <w:rPr>
          <w:rFonts w:ascii="Cambria Math" w:hAnsi="Cambria Math" w:eastAsia="Cambria Math"/>
          <w:sz w:val="21"/>
        </w:rPr>
        <w:t xml:space="preserve">A_i = w_ih_i/(WH),   R_i=max(w_i/h_i,h_i/w_i)</w:t>
      </w:r>
    </w:p>
    <w:p>
      <w:pPr>
        <w:pStyle w:val="Formula"/>
        <w:jc w:val="center"/>
      </w:pPr>
      <w:r>
        <w:rPr>
          <w:rFonts w:ascii="Cambria Math" w:hAnsi="Cambria Math" w:eastAsia="Cambria Math"/>
          <w:sz w:val="21"/>
        </w:rPr>
        <w:t xml:space="preserve">S_i=clip((a_0-A_i)/a_0,0,1),   E_i=clip((R_i-r_0)/r_0,0,1)</w:t>
      </w:r>
    </w:p>
    <w:p>
      <w:pPr>
        <w:pStyle w:val="Formula"/>
        <w:jc w:val="center"/>
      </w:pPr>
      <w:r>
        <w:rPr>
          <w:rFonts w:ascii="Cambria Math" w:hAnsi="Cambria Math" w:eastAsia="Cambria Math"/>
          <w:sz w:val="21"/>
        </w:rPr>
        <w:t xml:space="preserve">q_i=clip(1+αS_i+βE_i,1,q_max)</w:t>
      </w:r>
    </w:p>
    <w:p>
      <w:pPr>
        <w:pStyle w:val="Formula"/>
        <w:jc w:val="center"/>
      </w:pPr>
      <w:r>
        <w:rPr>
          <w:rFonts w:ascii="Cambria Math" w:hAnsi="Cambria Math" w:eastAsia="Cambria Math"/>
          <w:sz w:val="21"/>
        </w:rPr>
        <w:t xml:space="preserve">L_box^shape = Σ(1-CIoU_i)t_iq_i / Σt_i</w:t>
      </w:r>
    </w:p>
    <w:p>
      <w:pPr>
        <w:pStyle w:val="Formula"/>
        <w:jc w:val="center"/>
      </w:pPr>
      <w:r>
        <w:rPr>
          <w:rFonts w:ascii="Cambria Math" w:hAnsi="Cambria Math" w:eastAsia="Cambria Math"/>
          <w:sz w:val="21"/>
        </w:rPr>
        <w:t xml:space="preserve">L_dfl^shape = ΣDFL_it_iq_i / Σt_i</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1800" w:type="dxa"/>
            <w:shd w:fill="D9EAF7"/>
            <w:vAlign w:val="center"/>
          </w:tcPr>
          <w:p>
            <w:r>
              <w:rPr>
                <w:b/>
              </w:rPr>
              <w:t xml:space="preserve">参数</w:t>
            </w:r>
          </w:p>
        </w:tc>
        <w:tc>
          <w:tcPr>
            <w:tcW w:w="1600" w:type="dxa"/>
            <w:shd w:fill="D9EAF7"/>
            <w:vAlign w:val="center"/>
          </w:tcPr>
          <w:p>
            <w:r>
              <w:rPr>
                <w:b/>
              </w:rPr>
              <w:t xml:space="preserve">数值</w:t>
            </w:r>
          </w:p>
        </w:tc>
        <w:tc>
          <w:tcPr>
            <w:tcW w:w="6200" w:type="dxa"/>
            <w:shd w:fill="D9EAF7"/>
            <w:vAlign w:val="center"/>
          </w:tcPr>
          <w:p>
            <w:r>
              <w:rPr>
                <w:b/>
              </w:rPr>
              <w:t xml:space="preserve">含义</w:t>
            </w:r>
          </w:p>
        </w:tc>
      </w:tr>
      <w:tr>
        <w:tc>
          <w:tcPr>
            <w:tcW w:w="1800" w:type="dxa"/>
            <w:vAlign w:val="center"/>
          </w:tcPr>
          <w:p>
            <w:r>
              <w:t xml:space="preserve">a_0</w:t>
            </w:r>
          </w:p>
        </w:tc>
        <w:tc>
          <w:tcPr>
            <w:tcW w:w="1600" w:type="dxa"/>
            <w:vAlign w:val="center"/>
          </w:tcPr>
          <w:p>
            <w:r>
              <w:t xml:space="preserve">0.012</w:t>
            </w:r>
          </w:p>
        </w:tc>
        <w:tc>
          <w:tcPr>
            <w:tcW w:w="6200" w:type="dxa"/>
            <w:vAlign w:val="center"/>
          </w:tcPr>
          <w:p>
            <w:r>
              <w:t xml:space="preserve">小目标面积阈值</w:t>
            </w:r>
          </w:p>
        </w:tc>
      </w:tr>
      <w:tr>
        <w:tc>
          <w:tcPr>
            <w:tcW w:w="1800" w:type="dxa"/>
            <w:vAlign w:val="center"/>
          </w:tcPr>
          <w:p>
            <w:r>
              <w:t xml:space="preserve">r_0</w:t>
            </w:r>
          </w:p>
        </w:tc>
        <w:tc>
          <w:tcPr>
            <w:tcW w:w="1600" w:type="dxa"/>
            <w:vAlign w:val="center"/>
          </w:tcPr>
          <w:p>
            <w:r>
              <w:t xml:space="preserve">3.0</w:t>
            </w:r>
          </w:p>
        </w:tc>
        <w:tc>
          <w:tcPr>
            <w:tcW w:w="6200" w:type="dxa"/>
            <w:vAlign w:val="center"/>
          </w:tcPr>
          <w:p>
            <w:r>
              <w:t xml:space="preserve">细长目标长宽比阈值</w:t>
            </w:r>
          </w:p>
        </w:tc>
      </w:tr>
      <w:tr>
        <w:tc>
          <w:tcPr>
            <w:tcW w:w="1800" w:type="dxa"/>
            <w:vAlign w:val="center"/>
          </w:tcPr>
          <w:p>
            <w:r>
              <w:t xml:space="preserve">α</w:t>
            </w:r>
          </w:p>
        </w:tc>
        <w:tc>
          <w:tcPr>
            <w:tcW w:w="1600" w:type="dxa"/>
            <w:vAlign w:val="center"/>
          </w:tcPr>
          <w:p>
            <w:r>
              <w:t xml:space="preserve">0.35</w:t>
            </w:r>
          </w:p>
        </w:tc>
        <w:tc>
          <w:tcPr>
            <w:tcW w:w="6200" w:type="dxa"/>
            <w:vAlign w:val="center"/>
          </w:tcPr>
          <w:p>
            <w:r>
              <w:t xml:space="preserve">小面积目标增益</w:t>
            </w:r>
          </w:p>
        </w:tc>
      </w:tr>
      <w:tr>
        <w:tc>
          <w:tcPr>
            <w:tcW w:w="1800" w:type="dxa"/>
            <w:vAlign w:val="center"/>
          </w:tcPr>
          <w:p>
            <w:r>
              <w:t xml:space="preserve">β</w:t>
            </w:r>
          </w:p>
        </w:tc>
        <w:tc>
          <w:tcPr>
            <w:tcW w:w="1600" w:type="dxa"/>
            <w:vAlign w:val="center"/>
          </w:tcPr>
          <w:p>
            <w:r>
              <w:t xml:space="preserve">0.25</w:t>
            </w:r>
          </w:p>
        </w:tc>
        <w:tc>
          <w:tcPr>
            <w:tcW w:w="6200" w:type="dxa"/>
            <w:vAlign w:val="center"/>
          </w:tcPr>
          <w:p>
            <w:r>
              <w:t xml:space="preserve">细长目标增益</w:t>
            </w:r>
          </w:p>
        </w:tc>
      </w:tr>
      <w:tr>
        <w:tc>
          <w:tcPr>
            <w:tcW w:w="1800" w:type="dxa"/>
            <w:vAlign w:val="center"/>
          </w:tcPr>
          <w:p>
            <w:r>
              <w:t xml:space="preserve">q_max</w:t>
            </w:r>
          </w:p>
        </w:tc>
        <w:tc>
          <w:tcPr>
            <w:tcW w:w="1600" w:type="dxa"/>
            <w:vAlign w:val="center"/>
          </w:tcPr>
          <w:p>
            <w:r>
              <w:t xml:space="preserve">1.7</w:t>
            </w:r>
          </w:p>
        </w:tc>
        <w:tc>
          <w:tcPr>
            <w:tcW w:w="6200" w:type="dxa"/>
            <w:vAlign w:val="center"/>
          </w:tcPr>
          <w:p>
            <w:r>
              <w:t xml:space="preserve">最大形态权重</w:t>
            </w:r>
          </w:p>
        </w:tc>
      </w:tr>
    </w:tbl>
    <w:p>
      <w:pPr>
        <w:pStyle w:val="Caption"/>
        <w:jc w:val="center"/>
      </w:pPr>
      <w:r>
        <w:t xml:space="preserve">表 3  Shape-Aware Loss 参数设置</w:t>
      </w:r>
    </w:p>
    <w:p>
      <w:pPr>
        <w:pStyle w:val="Heading2"/>
      </w:pPr>
      <w:r>
        <w:t xml:space="preserve">3. 困难样本重加权训练机制</w:t>
      </w:r>
    </w:p>
    <w:p>
      <w:r>
        <w:t xml:space="preserve">在训练过程中，本文对包含 crack、corrosion 和小目标的图像提高采样权重，使困难样本在同等训练轮数内获得更多优化机会。该机制改变的是样本被抽取的概率，而类别权重则改变分类损失中不同类别的贡献，两者分别作用于训练分布和损失函数。</w:t>
      </w:r>
    </w:p>
    <w:p>
      <w:pPr>
        <w:pStyle w:val="Formula"/>
        <w:jc w:val="center"/>
      </w:pPr>
      <w:r>
        <w:rPr>
          <w:rFonts w:ascii="Cambria Math" w:hAnsi="Cambria Math" w:eastAsia="Cambria Math"/>
          <w:sz w:val="21"/>
        </w:rPr>
        <w:t xml:space="preserve">w_i=clip(1.0·3.0^{I[corrosion]}·2.0^{I[crack]}·1.5^{I[small]},0.05,6.0)</w:t>
      </w:r>
    </w:p>
    <w:p>
      <w:pPr>
        <w:pStyle w:val="Formula"/>
        <w:jc w:val="center"/>
      </w:pPr>
      <w:r>
        <w:rPr>
          <w:rFonts w:ascii="Cambria Math" w:hAnsi="Cambria Math" w:eastAsia="Cambria Math"/>
          <w:sz w:val="21"/>
        </w:rPr>
        <w:t xml:space="preserve">p_i=w_i/Σw_j,   E[m_i]=Np_i</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2300" w:type="dxa"/>
            <w:shd w:fill="D9EAF7"/>
            <w:vAlign w:val="center"/>
          </w:tcPr>
          <w:p>
            <w:r>
              <w:rPr>
                <w:b/>
              </w:rPr>
              <w:t xml:space="preserve">样本类型</w:t>
            </w:r>
          </w:p>
        </w:tc>
        <w:tc>
          <w:tcPr>
            <w:tcW w:w="5200" w:type="dxa"/>
            <w:shd w:fill="D9EAF7"/>
            <w:vAlign w:val="center"/>
          </w:tcPr>
          <w:p>
            <w:r>
              <w:rPr>
                <w:b/>
              </w:rPr>
              <w:t xml:space="preserve">触发条件</w:t>
            </w:r>
          </w:p>
        </w:tc>
        <w:tc>
          <w:tcPr>
            <w:tcW w:w="1800" w:type="dxa"/>
            <w:shd w:fill="D9EAF7"/>
            <w:vAlign w:val="center"/>
          </w:tcPr>
          <w:p>
            <w:r>
              <w:rPr>
                <w:b/>
              </w:rPr>
              <w:t xml:space="preserve">权重系数</w:t>
            </w:r>
          </w:p>
        </w:tc>
      </w:tr>
      <w:tr>
        <w:tc>
          <w:tcPr>
            <w:tcW w:w="2300" w:type="dxa"/>
            <w:vAlign w:val="center"/>
          </w:tcPr>
          <w:p>
            <w:r>
              <w:t xml:space="preserve">普通样本</w:t>
            </w:r>
          </w:p>
        </w:tc>
        <w:tc>
          <w:tcPr>
            <w:tcW w:w="5200" w:type="dxa"/>
            <w:vAlign w:val="center"/>
          </w:tcPr>
          <w:p>
            <w:r>
              <w:t xml:space="preserve">无困难条件</w:t>
            </w:r>
          </w:p>
        </w:tc>
        <w:tc>
          <w:tcPr>
            <w:tcW w:w="1800" w:type="dxa"/>
            <w:vAlign w:val="center"/>
          </w:tcPr>
          <w:p>
            <w:r>
              <w:t xml:space="preserve">1.0</w:t>
            </w:r>
          </w:p>
        </w:tc>
      </w:tr>
      <w:tr>
        <w:tc>
          <w:tcPr>
            <w:tcW w:w="2300" w:type="dxa"/>
            <w:vAlign w:val="center"/>
          </w:tcPr>
          <w:p>
            <w:r>
              <w:t xml:space="preserve">裂纹样本</w:t>
            </w:r>
          </w:p>
        </w:tc>
        <w:tc>
          <w:tcPr>
            <w:tcW w:w="5200" w:type="dxa"/>
            <w:vAlign w:val="center"/>
          </w:tcPr>
          <w:p>
            <w:r>
              <w:t xml:space="preserve">包含 crack</w:t>
            </w:r>
          </w:p>
        </w:tc>
        <w:tc>
          <w:tcPr>
            <w:tcW w:w="1800" w:type="dxa"/>
            <w:vAlign w:val="center"/>
          </w:tcPr>
          <w:p>
            <w:r>
              <w:t xml:space="preserve">2.0</w:t>
            </w:r>
          </w:p>
        </w:tc>
      </w:tr>
      <w:tr>
        <w:tc>
          <w:tcPr>
            <w:tcW w:w="2300" w:type="dxa"/>
            <w:vAlign w:val="center"/>
          </w:tcPr>
          <w:p>
            <w:r>
              <w:t xml:space="preserve">腐蚀样本</w:t>
            </w:r>
          </w:p>
        </w:tc>
        <w:tc>
          <w:tcPr>
            <w:tcW w:w="5200" w:type="dxa"/>
            <w:vAlign w:val="center"/>
          </w:tcPr>
          <w:p>
            <w:r>
              <w:t xml:space="preserve">包含 corrosion</w:t>
            </w:r>
          </w:p>
        </w:tc>
        <w:tc>
          <w:tcPr>
            <w:tcW w:w="1800" w:type="dxa"/>
            <w:vAlign w:val="center"/>
          </w:tcPr>
          <w:p>
            <w:r>
              <w:t xml:space="preserve">3.0</w:t>
            </w:r>
          </w:p>
        </w:tc>
      </w:tr>
      <w:tr>
        <w:tc>
          <w:tcPr>
            <w:tcW w:w="2300" w:type="dxa"/>
            <w:vAlign w:val="center"/>
          </w:tcPr>
          <w:p>
            <w:r>
              <w:t xml:space="preserve">小目标样本</w:t>
            </w:r>
          </w:p>
        </w:tc>
        <w:tc>
          <w:tcPr>
            <w:tcW w:w="5200" w:type="dxa"/>
            <w:vAlign w:val="center"/>
          </w:tcPr>
          <w:p>
            <w:r>
              <w:t xml:space="preserve">crack/corrosion 且面积占比较小</w:t>
            </w:r>
          </w:p>
        </w:tc>
        <w:tc>
          <w:tcPr>
            <w:tcW w:w="1800" w:type="dxa"/>
            <w:vAlign w:val="center"/>
          </w:tcPr>
          <w:p>
            <w:r>
              <w:t xml:space="preserve">1.5</w:t>
            </w:r>
          </w:p>
        </w:tc>
      </w:tr>
      <w:tr>
        <w:tc>
          <w:tcPr>
            <w:tcW w:w="2300" w:type="dxa"/>
            <w:vAlign w:val="center"/>
          </w:tcPr>
          <w:p>
            <w:r>
              <w:t xml:space="preserve">上限截断</w:t>
            </w:r>
          </w:p>
        </w:tc>
        <w:tc>
          <w:tcPr>
            <w:tcW w:w="5200" w:type="dxa"/>
            <w:vAlign w:val="center"/>
          </w:tcPr>
          <w:p>
            <w:r>
              <w:t xml:space="preserve">多条件叠加超过上限</w:t>
            </w:r>
          </w:p>
        </w:tc>
        <w:tc>
          <w:tcPr>
            <w:tcW w:w="1800" w:type="dxa"/>
            <w:vAlign w:val="center"/>
          </w:tcPr>
          <w:p>
            <w:r>
              <w:t xml:space="preserve">6.0</w:t>
            </w:r>
          </w:p>
        </w:tc>
      </w:tr>
    </w:tbl>
    <w:p>
      <w:pPr>
        <w:pStyle w:val="Caption"/>
        <w:jc w:val="center"/>
      </w:pPr>
      <w:r>
        <w:t xml:space="preserve">表 4  困难样本采样权重设置</w:t>
      </w:r>
    </w:p>
    <w:p>
      <w:pPr>
        <w:pStyle w:val="Heading2"/>
      </w:pPr>
      <w:r>
        <w:t xml:space="preserve">4. Blade-Slice 切片融合推理</w:t>
      </w:r>
    </w:p>
    <w:p>
      <w:r>
        <w:t xml:space="preserve">Blade-Slice 是推理阶段的尺度补偿策略，不改变训练权重。其思想是在全图推理之外增加局部切片推理，将局部检测框回映射至原图坐标后，与全图检测结果进行 NMS 融合。</w:t>
      </w:r>
    </w:p>
    <w:p>
      <w:pPr>
        <w:jc w:val="center"/>
      </w:pPr>
      <w:r>
        <w:drawing>
          <wp:inline distT="0" distB="0" distL="0" distR="0">
            <wp:extent cx="5760000" cy="2650000"/>
            <wp:effectExtent l="0" t="0" r="0" b="0"/>
            <wp:docPr id="35" name="fig_color_4_blade_slice_formula.svg"/>
            <wp:cNvGraphicFramePr>
              <a:graphicFrameLocks noChangeAspect="1"/>
            </wp:cNvGraphicFramePr>
            <a:graphic>
              <a:graphicData uri="http://schemas.openxmlformats.org/drawingml/2006/picture">
                <pic:pic>
                  <pic:nvPicPr>
                    <pic:cNvPr id="35" name="fig_color_4_blade_slice_formula.svg"/>
                    <pic:cNvPicPr/>
                  </pic:nvPicPr>
                  <pic:blipFill>
                    <a:blip r:embed="rId35"/>
                    <a:stretch>
                      <a:fillRect/>
                    </a:stretch>
                  </pic:blipFill>
                  <pic:spPr>
                    <a:xfrm>
                      <a:off x="0" y="0"/>
                      <a:ext cx="5760000" cy="2650000"/>
                    </a:xfrm>
                    <a:prstGeom prst="rect">
                      <a:avLst/>
                    </a:prstGeom>
                  </pic:spPr>
                </pic:pic>
              </a:graphicData>
            </a:graphic>
          </wp:inline>
        </w:drawing>
      </w:r>
    </w:p>
    <w:p>
      <w:pPr>
        <w:pStyle w:val="Caption"/>
        <w:jc w:val="center"/>
      </w:pPr>
      <w:r>
        <w:t xml:space="preserve">图 6  Blade-Slice 融合推理公式结构</w:t>
      </w:r>
    </w:p>
    <w:p>
      <w:pPr>
        <w:jc w:val="center"/>
      </w:pPr>
      <w:r>
        <w:drawing>
          <wp:inline distT="0" distB="0" distL="0" distR="0">
            <wp:extent cx="5760000" cy="2930000"/>
            <wp:effectExtent l="0" t="0" r="0" b="0"/>
            <wp:docPr id="36" name="fig_3_blade_slice_pipeline.svg"/>
            <wp:cNvGraphicFramePr>
              <a:graphicFrameLocks noChangeAspect="1"/>
            </wp:cNvGraphicFramePr>
            <a:graphic>
              <a:graphicData uri="http://schemas.openxmlformats.org/drawingml/2006/picture">
                <pic:pic>
                  <pic:nvPicPr>
                    <pic:cNvPr id="36" name="fig_3_blade_slice_pipeline.svg"/>
                    <pic:cNvPicPr/>
                  </pic:nvPicPr>
                  <pic:blipFill>
                    <a:blip r:embed="rId36"/>
                    <a:stretch>
                      <a:fillRect/>
                    </a:stretch>
                  </pic:blipFill>
                  <pic:spPr>
                    <a:xfrm>
                      <a:off x="0" y="0"/>
                      <a:ext cx="5760000" cy="2930000"/>
                    </a:xfrm>
                    <a:prstGeom prst="rect">
                      <a:avLst/>
                    </a:prstGeom>
                  </pic:spPr>
                </pic:pic>
              </a:graphicData>
            </a:graphic>
          </wp:inline>
        </w:drawing>
      </w:r>
    </w:p>
    <w:p>
      <w:pPr>
        <w:pStyle w:val="Caption"/>
        <w:jc w:val="center"/>
      </w:pPr>
      <w:r>
        <w:t xml:space="preserve">图 7  Blade-Slice 重叠切片融合推理流程</w:t>
      </w:r>
    </w:p>
    <w:p>
      <w:pPr>
        <w:pStyle w:val="Formula"/>
        <w:jc w:val="center"/>
      </w:pPr>
      <w:r>
        <w:rPr>
          <w:rFonts w:ascii="Cambria Math" w:hAnsi="Cambria Math" w:eastAsia="Cambria Math"/>
          <w:sz w:val="21"/>
        </w:rPr>
        <w:t xml:space="preserve">d=floor(L(1-ρ)), L=640, ρ=0.25, d=480</w:t>
      </w:r>
    </w:p>
    <w:p>
      <w:pPr>
        <w:pStyle w:val="Formula"/>
        <w:jc w:val="center"/>
      </w:pPr>
      <w:r>
        <w:rPr>
          <w:rFonts w:ascii="Cambria Math" w:hAnsi="Cambria Math" w:eastAsia="Cambria Math"/>
          <w:sz w:val="21"/>
        </w:rPr>
        <w:t xml:space="preserve">C_{u,v}=I[u:u+L,v:v+L]</w:t>
      </w:r>
    </w:p>
    <w:p>
      <w:pPr>
        <w:pStyle w:val="Formula"/>
        <w:jc w:val="center"/>
      </w:pPr>
      <w:r>
        <w:rPr>
          <w:rFonts w:ascii="Cambria Math" w:hAnsi="Cambria Math" w:eastAsia="Cambria Math"/>
          <w:sz w:val="21"/>
        </w:rPr>
        <w:t xml:space="preserve">b_global=(x_1+u,y_1+v,x_2+u,y_2+v,c,p)</w:t>
      </w:r>
    </w:p>
    <w:p>
      <w:pPr>
        <w:pStyle w:val="Formula"/>
        <w:jc w:val="center"/>
      </w:pPr>
      <w:r>
        <w:rPr>
          <w:rFonts w:ascii="Cambria Math" w:hAnsi="Cambria Math" w:eastAsia="Cambria Math"/>
          <w:sz w:val="21"/>
        </w:rPr>
        <w:t xml:space="preserve">B_fused=NMS(B_full∪B_slice,τ)</w:t>
      </w:r>
    </w:p>
    <w:p>
      <w:pPr>
        <w:pStyle w:val="Heading1"/>
      </w:pPr>
      <w:r>
        <w:t xml:space="preserve">四、实验设计</w:t>
      </w:r>
    </w:p>
    <w:p>
      <w:r>
        <w:t xml:space="preserve">为验证各模块有效性，本文设计逐项消融实验。P2、Shape-Aware Loss 和困难样本重加权属于训练链路，Blade-Slice 属于推理链路，因此在实验中作为最后一项单独加入。</w:t>
      </w:r>
    </w:p>
    <w:tbl>
      <w:tblPr>
        <w:tblStyle w:val="TableGrid"/>
        <w:tblW w:w="5000" w:type="pct"/>
        <w:tblLook w:val="04A0"/>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CellMar>
          <w:top w:w="80" w:type="dxa"/>
          <w:left w:w="100" w:type="dxa"/>
          <w:bottom w:w="80" w:type="dxa"/>
          <w:right w:w="100" w:type="dxa"/>
        </w:tblCellMar>
      </w:tblPr>
      <w:tr>
        <w:tc>
          <w:tcPr>
            <w:tcW w:w="800" w:type="dxa"/>
            <w:shd w:fill="D9EAF7"/>
            <w:vAlign w:val="center"/>
          </w:tcPr>
          <w:p>
            <w:r>
              <w:rPr>
                <w:b/>
              </w:rPr>
              <w:t xml:space="preserve">编号</w:t>
            </w:r>
          </w:p>
        </w:tc>
        <w:tc>
          <w:tcPr>
            <w:tcW w:w="3100" w:type="dxa"/>
            <w:shd w:fill="D9EAF7"/>
            <w:vAlign w:val="center"/>
          </w:tcPr>
          <w:p>
            <w:r>
              <w:rPr>
                <w:b/>
              </w:rPr>
              <w:t xml:space="preserve">模型设置</w:t>
            </w:r>
          </w:p>
        </w:tc>
        <w:tc>
          <w:tcPr>
            <w:tcW w:w="700" w:type="dxa"/>
            <w:shd w:fill="D9EAF7"/>
            <w:vAlign w:val="center"/>
          </w:tcPr>
          <w:p>
            <w:r>
              <w:rPr>
                <w:b/>
              </w:rPr>
              <w:t xml:space="preserve">P2</w:t>
            </w:r>
          </w:p>
        </w:tc>
        <w:tc>
          <w:tcPr>
            <w:tcW w:w="1300" w:type="dxa"/>
            <w:shd w:fill="D9EAF7"/>
            <w:vAlign w:val="center"/>
          </w:tcPr>
          <w:p>
            <w:r>
              <w:rPr>
                <w:b/>
              </w:rPr>
              <w:t xml:space="preserve">Shape Loss</w:t>
            </w:r>
          </w:p>
        </w:tc>
        <w:tc>
          <w:tcPr>
            <w:tcW w:w="1500" w:type="dxa"/>
            <w:shd w:fill="D9EAF7"/>
            <w:vAlign w:val="center"/>
          </w:tcPr>
          <w:p>
            <w:r>
              <w:rPr>
                <w:b/>
              </w:rPr>
              <w:t xml:space="preserve">Hard Sampling</w:t>
            </w:r>
          </w:p>
        </w:tc>
        <w:tc>
          <w:tcPr>
            <w:tcW w:w="1300" w:type="dxa"/>
            <w:shd w:fill="D9EAF7"/>
            <w:vAlign w:val="center"/>
          </w:tcPr>
          <w:p>
            <w:r>
              <w:rPr>
                <w:b/>
              </w:rPr>
              <w:t xml:space="preserve">Blade-Slice</w:t>
            </w:r>
          </w:p>
        </w:tc>
        <w:tc>
          <w:tcPr>
            <w:tcW w:w="1200" w:type="dxa"/>
            <w:shd w:fill="D9EAF7"/>
            <w:vAlign w:val="center"/>
          </w:tcPr>
          <w:p>
            <w:r>
              <w:rPr>
                <w:b/>
              </w:rPr>
              <w:t xml:space="preserve">Precision</w:t>
            </w:r>
          </w:p>
        </w:tc>
        <w:tc>
          <w:tcPr>
            <w:tcW w:w="1200" w:type="dxa"/>
            <w:shd w:fill="D9EAF7"/>
            <w:vAlign w:val="center"/>
          </w:tcPr>
          <w:p>
            <w:r>
              <w:rPr>
                <w:b/>
              </w:rPr>
              <w:t xml:space="preserve">Recall</w:t>
            </w:r>
          </w:p>
        </w:tc>
        <w:tc>
          <w:tcPr>
            <w:tcW w:w="1400" w:type="dxa"/>
            <w:shd w:fill="D9EAF7"/>
            <w:vAlign w:val="center"/>
          </w:tcPr>
          <w:p>
            <w:r>
              <w:rPr>
                <w:b/>
              </w:rPr>
              <w:t xml:space="preserve">mAP50-95</w:t>
            </w:r>
          </w:p>
        </w:tc>
        <w:tc>
          <w:tcPr>
            <w:tcW w:w="1000" w:type="dxa"/>
            <w:shd w:fill="D9EAF7"/>
            <w:vAlign w:val="center"/>
          </w:tcPr>
          <w:p>
            <w:r>
              <w:rPr>
                <w:b/>
              </w:rPr>
              <w:t xml:space="preserve">FP_bg</w:t>
            </w:r>
          </w:p>
        </w:tc>
      </w:tr>
      <w:tr>
        <w:tc>
          <w:tcPr>
            <w:tcW w:w="800" w:type="dxa"/>
            <w:vAlign w:val="center"/>
          </w:tcPr>
          <w:p>
            <w:r>
              <w:t xml:space="preserve">A0</w:t>
            </w:r>
          </w:p>
        </w:tc>
        <w:tc>
          <w:tcPr>
            <w:tcW w:w="3100" w:type="dxa"/>
            <w:vAlign w:val="center"/>
          </w:tcPr>
          <w:p>
            <w:r>
              <w:t xml:space="preserve">YOLO baseline</w:t>
            </w:r>
          </w:p>
        </w:tc>
        <w:tc>
          <w:tcPr>
            <w:tcW w:w="700" w:type="dxa"/>
            <w:vAlign w:val="center"/>
          </w:tcPr>
          <w:p>
            <w:r>
              <w:t xml:space="preserve">—</w:t>
            </w:r>
          </w:p>
        </w:tc>
        <w:tc>
          <w:tcPr>
            <w:tcW w:w="1300" w:type="dxa"/>
            <w:vAlign w:val="center"/>
          </w:tcPr>
          <w:p>
            <w:r>
              <w:t xml:space="preserve">—</w:t>
            </w:r>
          </w:p>
        </w:tc>
        <w:tc>
          <w:tcPr>
            <w:tcW w:w="1500" w:type="dxa"/>
            <w:vAlign w:val="center"/>
          </w:tcPr>
          <w:p>
            <w:r>
              <w:t xml:space="preserve">—</w:t>
            </w:r>
          </w:p>
        </w:tc>
        <w:tc>
          <w:tcPr>
            <w:tcW w:w="1300" w:type="dxa"/>
            <w:vAlign w:val="center"/>
          </w:tcPr>
          <w:p>
            <w:r>
              <w:t xml:space="preserve">—</w:t>
            </w:r>
          </w:p>
        </w:tc>
        <w:tc>
          <w:tcPr>
            <w:tcW w:w="1200" w:type="dxa"/>
            <w:vAlign w:val="center"/>
          </w:tcPr>
          <w:p>
            <w:r>
              <w:t xml:space="preserve">待补充</w:t>
            </w:r>
          </w:p>
        </w:tc>
        <w:tc>
          <w:tcPr>
            <w:tcW w:w="1200" w:type="dxa"/>
            <w:vAlign w:val="center"/>
          </w:tcPr>
          <w:p>
            <w:r>
              <w:t xml:space="preserve">待补充</w:t>
            </w:r>
          </w:p>
        </w:tc>
        <w:tc>
          <w:tcPr>
            <w:tcW w:w="1400" w:type="dxa"/>
            <w:vAlign w:val="center"/>
          </w:tcPr>
          <w:p>
            <w:r>
              <w:t xml:space="preserve">待补充</w:t>
            </w:r>
          </w:p>
        </w:tc>
        <w:tc>
          <w:tcPr>
            <w:tcW w:w="1000" w:type="dxa"/>
            <w:vAlign w:val="center"/>
          </w:tcPr>
          <w:p>
            <w:r>
              <w:t xml:space="preserve">待补充</w:t>
            </w:r>
          </w:p>
        </w:tc>
      </w:tr>
      <w:tr>
        <w:tc>
          <w:tcPr>
            <w:tcW w:w="800" w:type="dxa"/>
            <w:vAlign w:val="center"/>
          </w:tcPr>
          <w:p>
            <w:r>
              <w:t xml:space="preserve">A1</w:t>
            </w:r>
          </w:p>
        </w:tc>
        <w:tc>
          <w:tcPr>
            <w:tcW w:w="3100" w:type="dxa"/>
            <w:vAlign w:val="center"/>
          </w:tcPr>
          <w:p>
            <w:r>
              <w:t xml:space="preserve">YOLO + P2</w:t>
            </w:r>
          </w:p>
        </w:tc>
        <w:tc>
          <w:tcPr>
            <w:tcW w:w="700" w:type="dxa"/>
            <w:vAlign w:val="center"/>
          </w:tcPr>
          <w:p>
            <w:r>
              <w:t xml:space="preserve">√</w:t>
            </w:r>
          </w:p>
        </w:tc>
        <w:tc>
          <w:tcPr>
            <w:tcW w:w="1300" w:type="dxa"/>
            <w:vAlign w:val="center"/>
          </w:tcPr>
          <w:p>
            <w:r>
              <w:t xml:space="preserve">—</w:t>
            </w:r>
          </w:p>
        </w:tc>
        <w:tc>
          <w:tcPr>
            <w:tcW w:w="1500" w:type="dxa"/>
            <w:vAlign w:val="center"/>
          </w:tcPr>
          <w:p>
            <w:r>
              <w:t xml:space="preserve">—</w:t>
            </w:r>
          </w:p>
        </w:tc>
        <w:tc>
          <w:tcPr>
            <w:tcW w:w="1300" w:type="dxa"/>
            <w:vAlign w:val="center"/>
          </w:tcPr>
          <w:p>
            <w:r>
              <w:t xml:space="preserve">—</w:t>
            </w:r>
          </w:p>
        </w:tc>
        <w:tc>
          <w:tcPr>
            <w:tcW w:w="1200" w:type="dxa"/>
            <w:vAlign w:val="center"/>
          </w:tcPr>
          <w:p>
            <w:r>
              <w:t xml:space="preserve">待补充</w:t>
            </w:r>
          </w:p>
        </w:tc>
        <w:tc>
          <w:tcPr>
            <w:tcW w:w="1200" w:type="dxa"/>
            <w:vAlign w:val="center"/>
          </w:tcPr>
          <w:p>
            <w:r>
              <w:t xml:space="preserve">待补充</w:t>
            </w:r>
          </w:p>
        </w:tc>
        <w:tc>
          <w:tcPr>
            <w:tcW w:w="1400" w:type="dxa"/>
            <w:vAlign w:val="center"/>
          </w:tcPr>
          <w:p>
            <w:r>
              <w:t xml:space="preserve">待补充</w:t>
            </w:r>
          </w:p>
        </w:tc>
        <w:tc>
          <w:tcPr>
            <w:tcW w:w="1000" w:type="dxa"/>
            <w:vAlign w:val="center"/>
          </w:tcPr>
          <w:p>
            <w:r>
              <w:t xml:space="preserve">待补充</w:t>
            </w:r>
          </w:p>
        </w:tc>
      </w:tr>
      <w:tr>
        <w:tc>
          <w:tcPr>
            <w:tcW w:w="800" w:type="dxa"/>
            <w:vAlign w:val="center"/>
          </w:tcPr>
          <w:p>
            <w:r>
              <w:t xml:space="preserve">A2</w:t>
            </w:r>
          </w:p>
        </w:tc>
        <w:tc>
          <w:tcPr>
            <w:tcW w:w="3100" w:type="dxa"/>
            <w:vAlign w:val="center"/>
          </w:tcPr>
          <w:p>
            <w:r>
              <w:t xml:space="preserve">YOLO + P2 + Shape</w:t>
            </w:r>
          </w:p>
        </w:tc>
        <w:tc>
          <w:tcPr>
            <w:tcW w:w="700" w:type="dxa"/>
            <w:vAlign w:val="center"/>
          </w:tcPr>
          <w:p>
            <w:r>
              <w:t xml:space="preserve">√</w:t>
            </w:r>
          </w:p>
        </w:tc>
        <w:tc>
          <w:tcPr>
            <w:tcW w:w="1300" w:type="dxa"/>
            <w:vAlign w:val="center"/>
          </w:tcPr>
          <w:p>
            <w:r>
              <w:t xml:space="preserve">√</w:t>
            </w:r>
          </w:p>
        </w:tc>
        <w:tc>
          <w:tcPr>
            <w:tcW w:w="1500" w:type="dxa"/>
            <w:vAlign w:val="center"/>
          </w:tcPr>
          <w:p>
            <w:r>
              <w:t xml:space="preserve">—</w:t>
            </w:r>
          </w:p>
        </w:tc>
        <w:tc>
          <w:tcPr>
            <w:tcW w:w="1300" w:type="dxa"/>
            <w:vAlign w:val="center"/>
          </w:tcPr>
          <w:p>
            <w:r>
              <w:t xml:space="preserve">—</w:t>
            </w:r>
          </w:p>
        </w:tc>
        <w:tc>
          <w:tcPr>
            <w:tcW w:w="1200" w:type="dxa"/>
            <w:vAlign w:val="center"/>
          </w:tcPr>
          <w:p>
            <w:r>
              <w:t xml:space="preserve">待补充</w:t>
            </w:r>
          </w:p>
        </w:tc>
        <w:tc>
          <w:tcPr>
            <w:tcW w:w="1200" w:type="dxa"/>
            <w:vAlign w:val="center"/>
          </w:tcPr>
          <w:p>
            <w:r>
              <w:t xml:space="preserve">待补充</w:t>
            </w:r>
          </w:p>
        </w:tc>
        <w:tc>
          <w:tcPr>
            <w:tcW w:w="1400" w:type="dxa"/>
            <w:vAlign w:val="center"/>
          </w:tcPr>
          <w:p>
            <w:r>
              <w:t xml:space="preserve">待补充</w:t>
            </w:r>
          </w:p>
        </w:tc>
        <w:tc>
          <w:tcPr>
            <w:tcW w:w="1000" w:type="dxa"/>
            <w:vAlign w:val="center"/>
          </w:tcPr>
          <w:p>
            <w:r>
              <w:t xml:space="preserve">待补充</w:t>
            </w:r>
          </w:p>
        </w:tc>
      </w:tr>
      <w:tr>
        <w:tc>
          <w:tcPr>
            <w:tcW w:w="800" w:type="dxa"/>
            <w:vAlign w:val="center"/>
          </w:tcPr>
          <w:p>
            <w:r>
              <w:t xml:space="preserve">A3</w:t>
            </w:r>
          </w:p>
        </w:tc>
        <w:tc>
          <w:tcPr>
            <w:tcW w:w="3100" w:type="dxa"/>
            <w:vAlign w:val="center"/>
          </w:tcPr>
          <w:p>
            <w:r>
              <w:t xml:space="preserve">YOLO + P2 + Shape + Hard</w:t>
            </w:r>
          </w:p>
        </w:tc>
        <w:tc>
          <w:tcPr>
            <w:tcW w:w="700" w:type="dxa"/>
            <w:vAlign w:val="center"/>
          </w:tcPr>
          <w:p>
            <w:r>
              <w:t xml:space="preserve">√</w:t>
            </w:r>
          </w:p>
        </w:tc>
        <w:tc>
          <w:tcPr>
            <w:tcW w:w="1300" w:type="dxa"/>
            <w:vAlign w:val="center"/>
          </w:tcPr>
          <w:p>
            <w:r>
              <w:t xml:space="preserve">√</w:t>
            </w:r>
          </w:p>
        </w:tc>
        <w:tc>
          <w:tcPr>
            <w:tcW w:w="1500" w:type="dxa"/>
            <w:vAlign w:val="center"/>
          </w:tcPr>
          <w:p>
            <w:r>
              <w:t xml:space="preserve">√</w:t>
            </w:r>
          </w:p>
        </w:tc>
        <w:tc>
          <w:tcPr>
            <w:tcW w:w="1300" w:type="dxa"/>
            <w:vAlign w:val="center"/>
          </w:tcPr>
          <w:p>
            <w:r>
              <w:t xml:space="preserve">—</w:t>
            </w:r>
          </w:p>
        </w:tc>
        <w:tc>
          <w:tcPr>
            <w:tcW w:w="1200" w:type="dxa"/>
            <w:vAlign w:val="center"/>
          </w:tcPr>
          <w:p>
            <w:r>
              <w:t xml:space="preserve">待补充</w:t>
            </w:r>
          </w:p>
        </w:tc>
        <w:tc>
          <w:tcPr>
            <w:tcW w:w="1200" w:type="dxa"/>
            <w:vAlign w:val="center"/>
          </w:tcPr>
          <w:p>
            <w:r>
              <w:t xml:space="preserve">待补充</w:t>
            </w:r>
          </w:p>
        </w:tc>
        <w:tc>
          <w:tcPr>
            <w:tcW w:w="1400" w:type="dxa"/>
            <w:vAlign w:val="center"/>
          </w:tcPr>
          <w:p>
            <w:r>
              <w:t xml:space="preserve">待补充</w:t>
            </w:r>
          </w:p>
        </w:tc>
        <w:tc>
          <w:tcPr>
            <w:tcW w:w="1000" w:type="dxa"/>
            <w:vAlign w:val="center"/>
          </w:tcPr>
          <w:p>
            <w:r>
              <w:t xml:space="preserve">待补充</w:t>
            </w:r>
          </w:p>
        </w:tc>
      </w:tr>
      <w:tr>
        <w:tc>
          <w:tcPr>
            <w:tcW w:w="800" w:type="dxa"/>
            <w:vAlign w:val="center"/>
          </w:tcPr>
          <w:p>
            <w:r>
              <w:t xml:space="preserve">A4</w:t>
            </w:r>
          </w:p>
        </w:tc>
        <w:tc>
          <w:tcPr>
            <w:tcW w:w="3100" w:type="dxa"/>
            <w:vAlign w:val="center"/>
          </w:tcPr>
          <w:p>
            <w:r>
              <w:t xml:space="preserve">YOLO + P2 + Shape + Hard + Slice</w:t>
            </w:r>
          </w:p>
        </w:tc>
        <w:tc>
          <w:tcPr>
            <w:tcW w:w="700" w:type="dxa"/>
            <w:vAlign w:val="center"/>
          </w:tcPr>
          <w:p>
            <w:r>
              <w:t xml:space="preserve">√</w:t>
            </w:r>
          </w:p>
        </w:tc>
        <w:tc>
          <w:tcPr>
            <w:tcW w:w="1300" w:type="dxa"/>
            <w:vAlign w:val="center"/>
          </w:tcPr>
          <w:p>
            <w:r>
              <w:t xml:space="preserve">√</w:t>
            </w:r>
          </w:p>
        </w:tc>
        <w:tc>
          <w:tcPr>
            <w:tcW w:w="1500" w:type="dxa"/>
            <w:vAlign w:val="center"/>
          </w:tcPr>
          <w:p>
            <w:r>
              <w:t xml:space="preserve">√</w:t>
            </w:r>
          </w:p>
        </w:tc>
        <w:tc>
          <w:tcPr>
            <w:tcW w:w="1300" w:type="dxa"/>
            <w:vAlign w:val="center"/>
          </w:tcPr>
          <w:p>
            <w:r>
              <w:t xml:space="preserve">√</w:t>
            </w:r>
          </w:p>
        </w:tc>
        <w:tc>
          <w:tcPr>
            <w:tcW w:w="1200" w:type="dxa"/>
            <w:vAlign w:val="center"/>
          </w:tcPr>
          <w:p>
            <w:r>
              <w:t xml:space="preserve">待补充</w:t>
            </w:r>
          </w:p>
        </w:tc>
        <w:tc>
          <w:tcPr>
            <w:tcW w:w="1200" w:type="dxa"/>
            <w:vAlign w:val="center"/>
          </w:tcPr>
          <w:p>
            <w:r>
              <w:t xml:space="preserve">待补充</w:t>
            </w:r>
          </w:p>
        </w:tc>
        <w:tc>
          <w:tcPr>
            <w:tcW w:w="1400" w:type="dxa"/>
            <w:vAlign w:val="center"/>
          </w:tcPr>
          <w:p>
            <w:r>
              <w:t xml:space="preserve">待补充</w:t>
            </w:r>
          </w:p>
        </w:tc>
        <w:tc>
          <w:tcPr>
            <w:tcW w:w="1000" w:type="dxa"/>
            <w:vAlign w:val="center"/>
          </w:tcPr>
          <w:p>
            <w:r>
              <w:t xml:space="preserve">待补充</w:t>
            </w:r>
          </w:p>
        </w:tc>
      </w:tr>
    </w:tbl>
    <w:p>
      <w:pPr>
        <w:pStyle w:val="Caption"/>
        <w:jc w:val="center"/>
      </w:pPr>
      <w:r>
        <w:t xml:space="preserve">表 5  MSF-YOLO 消融实验设计</w:t>
      </w:r>
    </w:p>
    <w:p>
      <w:pPr>
        <w:pStyle w:val="Formula"/>
        <w:jc w:val="center"/>
      </w:pPr>
      <w:r>
        <w:rPr>
          <w:rFonts w:ascii="Cambria Math" w:hAnsi="Cambria Math" w:eastAsia="Cambria Math"/>
          <w:sz w:val="21"/>
        </w:rPr>
        <w:t xml:space="preserve">Precision=TP/(TP+FP),   Recall=TP/(TP+FN)</w:t>
      </w:r>
    </w:p>
    <w:p>
      <w:pPr>
        <w:pStyle w:val="Formula"/>
        <w:jc w:val="center"/>
      </w:pPr>
      <w:r>
        <w:rPr>
          <w:rFonts w:ascii="Cambria Math" w:hAnsi="Cambria Math" w:eastAsia="Cambria Math"/>
          <w:sz w:val="21"/>
        </w:rPr>
        <w:t xml:space="preserve">mAP50-95=(1/10)Σ_{τ=0.50:0.05:0.95}mAP_τ</w:t>
      </w:r>
    </w:p>
    <w:p>
      <w:pPr>
        <w:pStyle w:val="Formula"/>
        <w:jc w:val="center"/>
      </w:pPr>
      <w:r>
        <w:rPr>
          <w:rFonts w:ascii="Cambria Math" w:hAnsi="Cambria Math" w:eastAsia="Cambria Math"/>
          <w:sz w:val="21"/>
        </w:rPr>
        <w:t xml:space="preserve">FP_bg=Σ_{I_i∈D_empty}|{b∈f_θ(I_i):conf(b)≥η}|</w:t>
      </w:r>
    </w:p>
    <w:p>
      <w:pPr>
        <w:pStyle w:val="Heading1"/>
      </w:pPr>
      <w:r>
        <w:t xml:space="preserve">五、总结</w:t>
      </w:r>
    </w:p>
    <w:p>
      <w:r>
        <w:t xml:space="preserve">本文围绕风机叶片缺陷检测中的小尺度、细长形态、困难类别和高分辨率推理问题，构建了 MSF-YOLO 算法。与普通 YOLO 检测框架相比，MSF-YOLO 在结构上增加 P2 小目标检测头，在损失函数上引入 Shape-Aware 形态权重，在训练过程中使用困难样本重加权，并在推理阶段采用 Blade-Slice 切片融合。后续完整消融实验完成后，将进一步根据整体指标、分类别指标、背景误检和典型可视化结果确定最终结论强度。</w:t>
      </w:r>
    </w:p>
    <w:sectPr>
      <w:pgSz w:w="11906" w:h="16838"/>
      <w:pgMar w:top="1150" w:right="1150" w:bottom="1150" w:left="1150" w:header="720" w:footer="720" w:gutter="0"/>
      <w:cols w:space="720"/>
      <w:docGrid w:linePitch="312"/>
    </w:sectPr>
  </w:body>
</w:document>
</file>

<file path=word/settings.xml><?xml version="1.0" encoding="utf-8"?>
<w:settings xmlns:w="http://schemas.openxmlformats.org/wordprocessingml/2006/main">
  <w:zoom w:percent="100"/>
  <w:defaultTabStop w:val="420"/>
  <w:characterSpacingControl w:val="doNotCompress"/>
</w:settings>
</file>

<file path=word/styles.xml><?xml version="1.0" encoding="utf-8"?>
<w:styles xmlns:w="http://schemas.openxmlformats.org/wordprocessingml/2006/main">
  <w:docDefaults>
    <w:rPrDefault>
      <w:rPr>
        <w:rFonts w:ascii="Times New Roman" w:hAnsi="Times New Roman" w:eastAsia="宋体"/>
        <w:sz w:val="21"/>
      </w:rPr>
    </w:rPrDefault>
    <w:pPrDefault>
      <w:pPr>
        <w:spacing w:line="360" w:lineRule="auto" w:before="0" w:after="120"/>
        <w:jc w:val="both"/>
      </w:pPr>
    </w:pPrDefault>
  </w:docDefaults>
  <w:style w:type="paragraph" w:default="1" w:styleId="Normal">
    <w:name w:val="Normal"/>
    <w:qFormat/>
    <w:rPr>
      <w:rFonts w:ascii="Times New Roman" w:hAnsi="Times New Roman" w:eastAsia="宋体"/>
      <w:sz w:val="21"/>
    </w:rPr>
  </w:style>
  <w:style w:type="paragraph" w:styleId="Title">
    <w:name w:val="Title"/>
    <w:qFormat/>
    <w:pPr>
      <w:jc w:val="center"/>
      <w:spacing w:before="240" w:after="240"/>
    </w:pPr>
    <w:rPr>
      <w:rFonts w:ascii="Times New Roman" w:hAnsi="Times New Roman" w:eastAsia="黑体"/>
      <w:b/>
      <w:sz w:val="32"/>
    </w:rPr>
  </w:style>
  <w:style w:type="paragraph" w:styleId="Subtitle">
    <w:name w:val="Subtitle"/>
    <w:qFormat/>
    <w:pPr>
      <w:jc w:val="center"/>
      <w:spacing w:after="180"/>
    </w:pPr>
    <w:rPr>
      <w:rFonts w:ascii="Times New Roman" w:hAnsi="Times New Roman" w:eastAsia="宋体"/>
      <w:sz w:val="21"/>
    </w:rPr>
  </w:style>
  <w:style w:type="paragraph" w:styleId="Heading1">
    <w:name w:val="heading 1"/>
    <w:basedOn w:val="Normal"/>
    <w:next w:val="Normal"/>
    <w:qFormat/>
    <w:pPr>
      <w:keepNext/>
      <w:spacing w:before="300" w:after="160"/>
    </w:pPr>
    <w:rPr>
      <w:rFonts w:ascii="Times New Roman" w:hAnsi="Times New Roman" w:eastAsia="黑体"/>
      <w:b/>
      <w:sz w:val="28"/>
    </w:rPr>
  </w:style>
  <w:style w:type="paragraph" w:styleId="Heading2">
    <w:name w:val="heading 2"/>
    <w:basedOn w:val="Normal"/>
    <w:next w:val="Normal"/>
    <w:qFormat/>
    <w:pPr>
      <w:keepNext/>
      <w:spacing w:before="220" w:after="120"/>
    </w:pPr>
    <w:rPr>
      <w:rFonts w:ascii="Times New Roman" w:hAnsi="Times New Roman" w:eastAsia="黑体"/>
      <w:b/>
      <w:sz w:val="24"/>
    </w:rPr>
  </w:style>
  <w:style w:type="paragraph" w:styleId="Heading3">
    <w:name w:val="heading 3"/>
    <w:basedOn w:val="Normal"/>
    <w:next w:val="Normal"/>
    <w:qFormat/>
    <w:pPr>
      <w:keepNext/>
      <w:spacing w:before="160" w:after="80"/>
    </w:pPr>
    <w:rPr>
      <w:rFonts w:ascii="Times New Roman" w:hAnsi="Times New Roman" w:eastAsia="黑体"/>
      <w:b/>
      <w:sz w:val="22"/>
    </w:rPr>
  </w:style>
  <w:style w:type="paragraph" w:styleId="Caption">
    <w:name w:val="Caption"/>
    <w:basedOn w:val="Normal"/>
    <w:qFormat/>
    <w:pPr>
      <w:jc w:val="center"/>
      <w:spacing w:before="80" w:after="160"/>
    </w:pPr>
    <w:rPr>
      <w:rFonts w:ascii="Times New Roman" w:hAnsi="Times New Roman" w:eastAsia="宋体"/>
      <w:sz w:val="19"/>
    </w:rPr>
  </w:style>
  <w:style w:type="paragraph" w:styleId="Formula">
    <w:name w:val="Formula"/>
    <w:basedOn w:val="Normal"/>
    <w:qFormat/>
    <w:pPr>
      <w:jc w:val="center"/>
      <w:spacing w:before="80" w:after="80"/>
    </w:pPr>
    <w:rPr>
      <w:rFonts w:ascii="Cambria Math" w:hAnsi="Cambria Math" w:eastAsia="Cambria Math"/>
      <w:sz w:val="21"/>
    </w:rPr>
  </w:style>
  <w:style w:type="table" w:styleId="TableGrid">
    <w:name w:val="Table Grid"/>
    <w:tblPr>
      <w:tblBorders>
        <w:top w:val="single" w:sz="8" w:space="0" w:color="6C7A89"/>
        <w:left w:val="single" w:sz="8" w:space="0" w:color="6C7A89"/>
        <w:bottom w:val="single" w:sz="8" w:space="0" w:color="6C7A89"/>
        <w:right w:val="single" w:sz="8" w:space="0" w:color="6C7A89"/>
        <w:insideH w:val="single" w:sz="6" w:space="0" w:color="BFC9CA"/>
        <w:insideV w:val="single" w:sz="6" w:space="0" w:color="BFC9CA"/>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0" Type="http://schemas.openxmlformats.org/officeDocument/2006/relationships/image" Target="media/fig_1_msf_yolo_framework.svg"/><Relationship Id="rId31" Type="http://schemas.openxmlformats.org/officeDocument/2006/relationships/image" Target="media/fig_color_1_msf_yolo_network_detail.svg"/><Relationship Id="rId32" Type="http://schemas.openxmlformats.org/officeDocument/2006/relationships/image" Target="media/fig_color_2_p2_head_structure.svg"/><Relationship Id="rId33" Type="http://schemas.openxmlformats.org/officeDocument/2006/relationships/image" Target="media/fig_color_3_shape_aware_formula.svg"/><Relationship Id="rId34" Type="http://schemas.openxmlformats.org/officeDocument/2006/relationships/image" Target="media/fig_2_shape_aware_loss.svg"/><Relationship Id="rId35" Type="http://schemas.openxmlformats.org/officeDocument/2006/relationships/image" Target="media/fig_color_4_blade_slice_formula.svg"/><Relationship Id="rId36" Type="http://schemas.openxmlformats.org/officeDocument/2006/relationships/image" Target="media/fig_3_blade_slice_pipeline.svg"/></Relationships>
</file>