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CF3FF">
      <w:pPr>
        <w:spacing w:before="0" w:after="80"/>
        <w:jc w:val="left"/>
      </w:pPr>
      <w:r>
        <w:rPr>
          <w:b/>
          <w:color w:val="0F172A"/>
          <w:sz w:val="36"/>
        </w:rPr>
        <w:t>Phoenix 平台全局管理后台（admin-console）</w:t>
      </w:r>
    </w:p>
    <w:p w14:paraId="7AF5C2A7">
      <w:pPr>
        <w:spacing w:before="0" w:after="280"/>
      </w:pPr>
      <w:r>
        <w:rPr>
          <w:b/>
          <w:color w:val="0284C7"/>
          <w:sz w:val="26"/>
        </w:rPr>
        <w:t>现存问题深度诊断分析与系统化修复建议方案</w:t>
      </w:r>
    </w:p>
    <w:p w14:paraId="6D74A794">
      <w:pPr>
        <w:spacing w:after="320"/>
      </w:pPr>
      <w:r>
        <w:rPr>
          <w:color w:val="64748B"/>
          <w:sz w:val="18"/>
        </w:rPr>
        <w:t>报告编制：AI 架构协作组  ｜  编制日期：2026年8月16日  ｜  适用页面：/admin-console</w:t>
      </w:r>
    </w:p>
    <w:p w14:paraId="1E03069E">
      <w:pPr>
        <w:pBdr>
          <w:bottom w:val="single" w:color="0284C7" w:sz="12" w:space="1"/>
        </w:pBdr>
        <w:spacing w:after="280"/>
      </w:pPr>
    </w:p>
    <w:p w14:paraId="76ADDC80">
      <w:pPr>
        <w:pStyle w:val="3"/>
        <w:spacing w:before="240" w:after="160"/>
      </w:pPr>
      <w:r>
        <w:rPr>
          <w:b/>
          <w:color w:val="0F172A"/>
          <w:sz w:val="26"/>
        </w:rPr>
        <w:t>一、 摘要与前言</w:t>
      </w:r>
    </w:p>
    <w:p w14:paraId="3EE0E5CA">
      <w:pPr>
        <w:spacing w:after="160" w:line="324" w:lineRule="auto"/>
      </w:pPr>
      <w:r>
        <w:t>作为 Phoenix 系统的最高管控中枢，全局管理后台（/admin-console）聚合了后台文件管理、数据库表在线编辑、项目业务设定、服务器监控与运维终端、操作审计日志、账户与权限矩阵、数据库全量备份与高级恢复共 7 大核心业务板块。</w:t>
      </w:r>
    </w:p>
    <w:p w14:paraId="6F3A7720">
      <w:pPr>
        <w:spacing w:after="240" w:line="324" w:lineRule="auto"/>
      </w:pPr>
      <w:r>
        <w:t>然而，随着平台从单一供暖日报演进为多项目并行架构，现存前端单文件 AdminConsoleView.vue 已膨胀至 6470 行（219 KB），并在交互体验、状态持久化、数据加载生命周期及架构设计上暴露出多项制约管理效率的突出问题。本报告旨在全面剖析问题成因、所致现象，并给出分阶段、平滑落地的修复建议。</w:t>
      </w:r>
    </w:p>
    <w:p w14:paraId="32ED856C">
      <w:pPr>
        <w:pStyle w:val="3"/>
        <w:spacing w:before="320" w:after="160"/>
      </w:pPr>
      <w:r>
        <w:rPr>
          <w:b/>
          <w:color w:val="0F172A"/>
          <w:sz w:val="26"/>
        </w:rPr>
        <w:t>二、 现存核心问题与导致现象深度剖析</w:t>
      </w:r>
    </w:p>
    <w:p w14:paraId="047BE7C0">
      <w:pPr>
        <w:pStyle w:val="4"/>
        <w:spacing w:before="200" w:after="80"/>
      </w:pPr>
      <w:r>
        <w:rPr>
          <w:b/>
          <w:color w:val="0284C7"/>
          <w:sz w:val="22"/>
        </w:rPr>
        <w:t>【问题 1】 Tab 状态无持久化（</w:t>
      </w:r>
      <w:bookmarkStart w:id="0" w:name="_GoBack"/>
      <w:bookmarkEnd w:id="0"/>
      <w:r>
        <w:rPr>
          <w:b/>
          <w:color w:val="0284C7"/>
          <w:sz w:val="22"/>
        </w:rPr>
        <w:t>“刷新失忆”现象）</w:t>
      </w:r>
    </w:p>
    <w:p w14:paraId="7C1551D7">
      <w:pPr>
        <w:spacing w:after="60" w:line="312" w:lineRule="auto"/>
      </w:pPr>
      <w:r>
        <w:rPr>
          <w:b/>
          <w:color w:val="DC2626"/>
        </w:rPr>
        <w:t>● 导致的现象：</w:t>
      </w:r>
      <w:r>
        <w:t>管理员在“账户与权限管理”中细化配置角色，或者在“数据库备份与恢复”中等待任务时，只要按 F5 刷新浏览器或点击前进/后退，页面必定强制重置回默认的第一个 Tab（后台文件编辑）；无法将具体功能加入浏览器书签或分享链接直达。</w:t>
      </w:r>
    </w:p>
    <w:p w14:paraId="04AC1D05">
      <w:pPr>
        <w:spacing w:after="160" w:line="312" w:lineRule="auto"/>
      </w:pPr>
      <w:r>
        <w:rPr>
          <w:b/>
          <w:color w:val="475569"/>
        </w:rPr>
        <w:t>● 底层根因：</w:t>
      </w:r>
      <w:r>
        <w:t>activeTab 与 activeSubTab 仅保存在 Vue 内存变量中，未与 URL Query 参数（如 ?tab=accounts&amp;sub=matrix_control）绑定，页面加载或刷新时状态完全丢失。</w:t>
      </w:r>
    </w:p>
    <w:p w14:paraId="40DF19FF">
      <w:pPr>
        <w:pStyle w:val="4"/>
        <w:spacing w:before="200" w:after="80"/>
      </w:pPr>
      <w:r>
        <w:rPr>
          <w:b/>
          <w:color w:val="0284C7"/>
          <w:sz w:val="22"/>
        </w:rPr>
        <w:t>【问题 2】 页面初始化全量无脑预加载（“进门卡顿”现象）</w:t>
      </w:r>
    </w:p>
    <w:p w14:paraId="54148CDD">
      <w:pPr>
        <w:spacing w:after="60" w:line="312" w:lineRule="auto"/>
      </w:pPr>
      <w:r>
        <w:rPr>
          <w:b/>
          <w:color w:val="DC2626"/>
        </w:rPr>
        <w:t>● 导致的现象：</w:t>
      </w:r>
      <w:r>
        <w:t>管理员只要进入 /admin-console，页面会出现数秒钟卡顿或转圈；浏览器控制台瞬间并发/串行触发 7 个极重的底层系统与数据库请求，网络拥堵严重。</w:t>
      </w:r>
    </w:p>
    <w:p w14:paraId="3081FDD0">
      <w:pPr>
        <w:spacing w:after="160" w:line="312" w:lineRule="auto"/>
      </w:pPr>
      <w:r>
        <w:rPr>
          <w:b/>
          <w:color w:val="475569"/>
        </w:rPr>
        <w:t>● 底层根因：</w:t>
      </w:r>
      <w:r>
        <w:t>onMounted 钩子无条件地执行了 refreshSuperTree（遍历物理服务器目录）、loadDbTables（查询全库表元数据）、loadDbRows（全量查表数据）等全部重型方法，缺少“按需懒加载”机制。</w:t>
      </w:r>
    </w:p>
    <w:p w14:paraId="1102B0E7">
      <w:pPr>
        <w:pStyle w:val="4"/>
        <w:spacing w:before="200" w:after="80"/>
      </w:pPr>
      <w:r>
        <w:rPr>
          <w:b/>
          <w:color w:val="0284C7"/>
          <w:sz w:val="22"/>
        </w:rPr>
        <w:t>【问题 3】 关键 Tab 切换漏触发数据加载（“空空如也”现象）</w:t>
      </w:r>
    </w:p>
    <w:p w14:paraId="160760E9">
      <w:pPr>
        <w:spacing w:after="60" w:line="312" w:lineRule="auto"/>
      </w:pPr>
      <w:r>
        <w:rPr>
          <w:b/>
          <w:color w:val="DC2626"/>
        </w:rPr>
        <w:t>● 导致的现象：</w:t>
      </w:r>
      <w:r>
        <w:t>点击顶部的“💾 数据库备份与恢复”Tab 时，列表显示为空白；管理员必须主动手动点击右上角“🔄 刷新”按钮，备份列表才姗姗来迟。</w:t>
      </w:r>
    </w:p>
    <w:p w14:paraId="1B939E85">
      <w:pPr>
        <w:spacing w:after="160" w:line="312" w:lineRule="auto"/>
      </w:pPr>
      <w:r>
        <w:rPr>
          <w:b/>
          <w:color w:val="475569"/>
        </w:rPr>
        <w:t>● 底层根因：</w:t>
      </w:r>
      <w:r>
        <w:t>watch(() =&gt; activeTab.value) 监听分支中处理了 files、database、system、audit、accounts，唯独漏掉了 'db_backup' 的触发调用。</w:t>
      </w:r>
    </w:p>
    <w:p w14:paraId="14F8CAF2">
      <w:pPr>
        <w:pStyle w:val="4"/>
        <w:spacing w:before="200" w:after="80"/>
      </w:pPr>
      <w:r>
        <w:rPr>
          <w:b/>
          <w:color w:val="0284C7"/>
          <w:sz w:val="22"/>
        </w:rPr>
        <w:t>【问题 4】 权限与项目配置功能割裂、双头管理（“逻辑困惑”现象）</w:t>
      </w:r>
    </w:p>
    <w:p w14:paraId="67983EBB">
      <w:pPr>
        <w:spacing w:after="60" w:line="312" w:lineRule="auto"/>
      </w:pPr>
      <w:r>
        <w:rPr>
          <w:b/>
          <w:color w:val="DC2626"/>
        </w:rPr>
        <w:t>● 导致的现象：</w:t>
      </w:r>
      <w:r>
        <w:t>权限配置存在两套互不通气的入口：“项目后台设定”中的提交权限表与“账户管理 -&gt; 项目权限配置中心”中的三栏矩阵；且“项目后台设定”硬编码仅支持 daily_report_25_26，切换其他项目提示“暂未接入”。</w:t>
      </w:r>
    </w:p>
    <w:p w14:paraId="3A59F96B">
      <w:pPr>
        <w:spacing w:after="160" w:line="312" w:lineRule="auto"/>
      </w:pPr>
      <w:r>
        <w:rPr>
          <w:b/>
          <w:color w:val="475569"/>
        </w:rPr>
        <w:t>● 底层根因：</w:t>
      </w:r>
      <w:r>
        <w:t>旧版单项目遗留的权限开关未及时归拢收敛到现代三维权限矩阵大盘（Permission Matrix）中，造成新老机制混杂与认知混乱。</w:t>
      </w:r>
    </w:p>
    <w:p w14:paraId="3B1E8640">
      <w:pPr>
        <w:pStyle w:val="4"/>
        <w:spacing w:before="200" w:after="80"/>
      </w:pPr>
      <w:r>
        <w:rPr>
          <w:b/>
          <w:color w:val="0284C7"/>
          <w:sz w:val="22"/>
        </w:rPr>
        <w:t>【问题 5】 工作流返回链路断裂（“迷失现场”现象）</w:t>
      </w:r>
    </w:p>
    <w:p w14:paraId="6540572C">
      <w:pPr>
        <w:spacing w:after="60" w:line="312" w:lineRule="auto"/>
      </w:pPr>
      <w:r>
        <w:rPr>
          <w:b/>
          <w:color w:val="DC2626"/>
        </w:rPr>
        <w:t>● 导致的现象：</w:t>
      </w:r>
      <w:r>
        <w:t>在日常业务操作中（如填报日报或审批物资）临时点击“进入后台”处理事务后，顶部面包屑仅有固定写死的“项目选择 &gt; 管理后台”，无法一键返回刚才的具体业务页面，路径十分冗长。</w:t>
      </w:r>
    </w:p>
    <w:p w14:paraId="3319DA23">
      <w:pPr>
        <w:spacing w:after="160" w:line="312" w:lineRule="auto"/>
      </w:pPr>
      <w:r>
        <w:rPr>
          <w:b/>
          <w:color w:val="475569"/>
        </w:rPr>
        <w:t>● 底层根因：</w:t>
      </w:r>
      <w:r>
        <w:t>进入后台时未记录来源页面路由（from / redirect 上下文），且顶部面包屑组件仅配置了静态跳转目标。</w:t>
      </w:r>
    </w:p>
    <w:p w14:paraId="530F8F2C">
      <w:pPr>
        <w:pStyle w:val="4"/>
        <w:spacing w:before="200" w:after="80"/>
      </w:pPr>
      <w:r>
        <w:rPr>
          <w:b/>
          <w:color w:val="0284C7"/>
          <w:sz w:val="22"/>
        </w:rPr>
        <w:t>【问题 6】 6470 行单文件“巨石组件”（架构维护性极差）</w:t>
      </w:r>
    </w:p>
    <w:p w14:paraId="5EA42150">
      <w:pPr>
        <w:spacing w:after="60" w:line="312" w:lineRule="auto"/>
      </w:pPr>
      <w:r>
        <w:rPr>
          <w:b/>
          <w:color w:val="DC2626"/>
        </w:rPr>
        <w:t>● 导致的现象：</w:t>
      </w:r>
      <w:r>
        <w:t>代码体积达 219 KB，混杂了 7 套业务逻辑、数十个响应式状态、多个侧滑抽屉与终端 Modal，修改局部极易引入全局未知副作用。</w:t>
      </w:r>
    </w:p>
    <w:p w14:paraId="58461053">
      <w:pPr>
        <w:spacing w:after="160" w:line="312" w:lineRule="auto"/>
      </w:pPr>
      <w:r>
        <w:rPr>
          <w:b/>
          <w:color w:val="475569"/>
        </w:rPr>
        <w:t>● 底层根因：</w:t>
      </w:r>
      <w:r>
        <w:t>缺乏子组件模块化拆分设计，所有逻辑、样式与模板强耦合在一个单文件内。</w:t>
      </w:r>
    </w:p>
    <w:p w14:paraId="29B675AC">
      <w:pPr>
        <w:pStyle w:val="3"/>
        <w:spacing w:before="320" w:after="160"/>
      </w:pPr>
      <w:r>
        <w:rPr>
          <w:b/>
          <w:color w:val="0F172A"/>
          <w:sz w:val="26"/>
        </w:rPr>
        <w:t>三、 问题与现象总览对照表</w:t>
      </w:r>
    </w:p>
    <w:tbl>
      <w:tblPr>
        <w:tblStyle w:val="32"/>
        <w:tblW w:w="0" w:type="auto"/>
        <w:jc w:val="center"/>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794"/>
        <w:gridCol w:w="2041"/>
        <w:gridCol w:w="3855"/>
        <w:gridCol w:w="1247"/>
        <w:gridCol w:w="1134"/>
      </w:tblGrid>
      <w:tr w14:paraId="4D40DF03">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794" w:type="dxa"/>
            <w:shd w:val="clear" w:color="auto" w:fill="F1F5F9"/>
            <w:tcMar>
              <w:top w:w="120" w:type="dxa"/>
              <w:left w:w="100" w:type="dxa"/>
              <w:bottom w:w="120" w:type="dxa"/>
              <w:right w:w="100" w:type="dxa"/>
            </w:tcMar>
          </w:tcPr>
          <w:p w14:paraId="4D465ABA">
            <w:pPr>
              <w:jc w:val="center"/>
            </w:pPr>
            <w:r>
              <w:rPr>
                <w:b/>
                <w:color w:val="0F172A"/>
                <w:sz w:val="19"/>
              </w:rPr>
              <w:t>序号</w:t>
            </w:r>
          </w:p>
        </w:tc>
        <w:tc>
          <w:tcPr>
            <w:tcW w:w="2041" w:type="dxa"/>
            <w:shd w:val="clear" w:color="auto" w:fill="F1F5F9"/>
            <w:tcMar>
              <w:top w:w="120" w:type="dxa"/>
              <w:left w:w="100" w:type="dxa"/>
              <w:bottom w:w="120" w:type="dxa"/>
              <w:right w:w="100" w:type="dxa"/>
            </w:tcMar>
          </w:tcPr>
          <w:p w14:paraId="4007EADE">
            <w:pPr>
              <w:jc w:val="center"/>
            </w:pPr>
            <w:r>
              <w:rPr>
                <w:b/>
                <w:color w:val="0F172A"/>
                <w:sz w:val="19"/>
              </w:rPr>
              <w:t>核心问题分类</w:t>
            </w:r>
          </w:p>
        </w:tc>
        <w:tc>
          <w:tcPr>
            <w:tcW w:w="3855" w:type="dxa"/>
            <w:shd w:val="clear" w:color="auto" w:fill="F1F5F9"/>
            <w:tcMar>
              <w:top w:w="120" w:type="dxa"/>
              <w:left w:w="100" w:type="dxa"/>
              <w:bottom w:w="120" w:type="dxa"/>
              <w:right w:w="100" w:type="dxa"/>
            </w:tcMar>
          </w:tcPr>
          <w:p w14:paraId="72FFFD8A">
            <w:pPr>
              <w:jc w:val="center"/>
            </w:pPr>
            <w:r>
              <w:rPr>
                <w:b/>
                <w:color w:val="0F172A"/>
                <w:sz w:val="19"/>
              </w:rPr>
              <w:t>典型表现现象</w:t>
            </w:r>
          </w:p>
        </w:tc>
        <w:tc>
          <w:tcPr>
            <w:tcW w:w="1247" w:type="dxa"/>
            <w:shd w:val="clear" w:color="auto" w:fill="F1F5F9"/>
            <w:tcMar>
              <w:top w:w="120" w:type="dxa"/>
              <w:left w:w="100" w:type="dxa"/>
              <w:bottom w:w="120" w:type="dxa"/>
              <w:right w:w="100" w:type="dxa"/>
            </w:tcMar>
          </w:tcPr>
          <w:p w14:paraId="55A7B036">
            <w:pPr>
              <w:jc w:val="center"/>
            </w:pPr>
            <w:r>
              <w:rPr>
                <w:b/>
                <w:color w:val="0F172A"/>
                <w:sz w:val="19"/>
              </w:rPr>
              <w:t>严重程度</w:t>
            </w:r>
          </w:p>
        </w:tc>
        <w:tc>
          <w:tcPr>
            <w:tcW w:w="1134" w:type="dxa"/>
            <w:shd w:val="clear" w:color="auto" w:fill="F1F5F9"/>
            <w:tcMar>
              <w:top w:w="120" w:type="dxa"/>
              <w:left w:w="100" w:type="dxa"/>
              <w:bottom w:w="120" w:type="dxa"/>
              <w:right w:w="100" w:type="dxa"/>
            </w:tcMar>
          </w:tcPr>
          <w:p w14:paraId="33F351FE">
            <w:pPr>
              <w:jc w:val="center"/>
            </w:pPr>
            <w:r>
              <w:rPr>
                <w:b/>
                <w:color w:val="0F172A"/>
                <w:sz w:val="19"/>
              </w:rPr>
              <w:t>修复难度</w:t>
            </w:r>
          </w:p>
        </w:tc>
      </w:tr>
      <w:tr w14:paraId="07832EDB">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794" w:type="dxa"/>
            <w:tcMar>
              <w:top w:w="100" w:type="dxa"/>
              <w:left w:w="80" w:type="dxa"/>
              <w:bottom w:w="100" w:type="dxa"/>
              <w:right w:w="80" w:type="dxa"/>
            </w:tcMar>
          </w:tcPr>
          <w:p w14:paraId="743542C4">
            <w:pPr>
              <w:jc w:val="center"/>
            </w:pPr>
            <w:r>
              <w:rPr>
                <w:sz w:val="18"/>
              </w:rPr>
              <w:t>01</w:t>
            </w:r>
          </w:p>
        </w:tc>
        <w:tc>
          <w:tcPr>
            <w:tcW w:w="2041" w:type="dxa"/>
            <w:tcMar>
              <w:top w:w="100" w:type="dxa"/>
              <w:left w:w="80" w:type="dxa"/>
              <w:bottom w:w="100" w:type="dxa"/>
              <w:right w:w="80" w:type="dxa"/>
            </w:tcMar>
          </w:tcPr>
          <w:p w14:paraId="19758230">
            <w:pPr>
              <w:jc w:val="left"/>
            </w:pPr>
            <w:r>
              <w:rPr>
                <w:sz w:val="18"/>
              </w:rPr>
              <w:t>URL 状态不同步</w:t>
            </w:r>
          </w:p>
        </w:tc>
        <w:tc>
          <w:tcPr>
            <w:tcW w:w="3855" w:type="dxa"/>
            <w:tcMar>
              <w:top w:w="100" w:type="dxa"/>
              <w:left w:w="80" w:type="dxa"/>
              <w:bottom w:w="100" w:type="dxa"/>
              <w:right w:w="80" w:type="dxa"/>
            </w:tcMar>
          </w:tcPr>
          <w:p w14:paraId="6B05E498">
            <w:pPr>
              <w:jc w:val="left"/>
            </w:pPr>
            <w:r>
              <w:rPr>
                <w:sz w:val="18"/>
              </w:rPr>
              <w:t>刷新页面必回第一页，无法收藏或直接分享指定功能链接</w:t>
            </w:r>
          </w:p>
        </w:tc>
        <w:tc>
          <w:tcPr>
            <w:tcW w:w="1247" w:type="dxa"/>
            <w:tcMar>
              <w:top w:w="100" w:type="dxa"/>
              <w:left w:w="80" w:type="dxa"/>
              <w:bottom w:w="100" w:type="dxa"/>
              <w:right w:w="80" w:type="dxa"/>
            </w:tcMar>
          </w:tcPr>
          <w:p w14:paraId="460BA794">
            <w:pPr>
              <w:jc w:val="center"/>
            </w:pPr>
            <w:r>
              <w:rPr>
                <w:b/>
                <w:color w:val="DC2626"/>
                <w:sz w:val="18"/>
              </w:rPr>
              <w:t>极高</w:t>
            </w:r>
          </w:p>
        </w:tc>
        <w:tc>
          <w:tcPr>
            <w:tcW w:w="1134" w:type="dxa"/>
            <w:tcMar>
              <w:top w:w="100" w:type="dxa"/>
              <w:left w:w="80" w:type="dxa"/>
              <w:bottom w:w="100" w:type="dxa"/>
              <w:right w:w="80" w:type="dxa"/>
            </w:tcMar>
          </w:tcPr>
          <w:p w14:paraId="40F20CDC">
            <w:pPr>
              <w:jc w:val="center"/>
            </w:pPr>
            <w:r>
              <w:rPr>
                <w:sz w:val="18"/>
              </w:rPr>
              <w:t>低（极快）</w:t>
            </w:r>
          </w:p>
        </w:tc>
      </w:tr>
      <w:tr w14:paraId="38D686C6">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794" w:type="dxa"/>
            <w:tcMar>
              <w:top w:w="100" w:type="dxa"/>
              <w:left w:w="80" w:type="dxa"/>
              <w:bottom w:w="100" w:type="dxa"/>
              <w:right w:w="80" w:type="dxa"/>
            </w:tcMar>
          </w:tcPr>
          <w:p w14:paraId="14F3E73F">
            <w:pPr>
              <w:jc w:val="center"/>
            </w:pPr>
            <w:r>
              <w:rPr>
                <w:sz w:val="18"/>
              </w:rPr>
              <w:t>02</w:t>
            </w:r>
          </w:p>
        </w:tc>
        <w:tc>
          <w:tcPr>
            <w:tcW w:w="2041" w:type="dxa"/>
            <w:tcMar>
              <w:top w:w="100" w:type="dxa"/>
              <w:left w:w="80" w:type="dxa"/>
              <w:bottom w:w="100" w:type="dxa"/>
              <w:right w:w="80" w:type="dxa"/>
            </w:tcMar>
          </w:tcPr>
          <w:p w14:paraId="2F142AAE">
            <w:pPr>
              <w:jc w:val="left"/>
            </w:pPr>
            <w:r>
              <w:rPr>
                <w:sz w:val="18"/>
              </w:rPr>
              <w:t>全量无脑预加载</w:t>
            </w:r>
          </w:p>
        </w:tc>
        <w:tc>
          <w:tcPr>
            <w:tcW w:w="3855" w:type="dxa"/>
            <w:tcMar>
              <w:top w:w="100" w:type="dxa"/>
              <w:left w:w="80" w:type="dxa"/>
              <w:bottom w:w="100" w:type="dxa"/>
              <w:right w:w="80" w:type="dxa"/>
            </w:tcMar>
          </w:tcPr>
          <w:p w14:paraId="14E827F1">
            <w:pPr>
              <w:jc w:val="left"/>
            </w:pPr>
            <w:r>
              <w:rPr>
                <w:sz w:val="18"/>
              </w:rPr>
              <w:t>打开管理后台加载极慢、网络请求拥堵卡顿</w:t>
            </w:r>
          </w:p>
        </w:tc>
        <w:tc>
          <w:tcPr>
            <w:tcW w:w="1247" w:type="dxa"/>
            <w:tcMar>
              <w:top w:w="100" w:type="dxa"/>
              <w:left w:w="80" w:type="dxa"/>
              <w:bottom w:w="100" w:type="dxa"/>
              <w:right w:w="80" w:type="dxa"/>
            </w:tcMar>
          </w:tcPr>
          <w:p w14:paraId="2F10B843">
            <w:pPr>
              <w:jc w:val="center"/>
            </w:pPr>
            <w:r>
              <w:rPr>
                <w:b/>
                <w:color w:val="DC2626"/>
                <w:sz w:val="18"/>
              </w:rPr>
              <w:t>极高</w:t>
            </w:r>
          </w:p>
        </w:tc>
        <w:tc>
          <w:tcPr>
            <w:tcW w:w="1134" w:type="dxa"/>
            <w:tcMar>
              <w:top w:w="100" w:type="dxa"/>
              <w:left w:w="80" w:type="dxa"/>
              <w:bottom w:w="100" w:type="dxa"/>
              <w:right w:w="80" w:type="dxa"/>
            </w:tcMar>
          </w:tcPr>
          <w:p w14:paraId="73BBFF97">
            <w:pPr>
              <w:jc w:val="center"/>
            </w:pPr>
            <w:r>
              <w:rPr>
                <w:sz w:val="18"/>
              </w:rPr>
              <w:t>低（极快）</w:t>
            </w:r>
          </w:p>
        </w:tc>
      </w:tr>
      <w:tr w14:paraId="3AFB5DE7">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794" w:type="dxa"/>
            <w:tcMar>
              <w:top w:w="100" w:type="dxa"/>
              <w:left w:w="80" w:type="dxa"/>
              <w:bottom w:w="100" w:type="dxa"/>
              <w:right w:w="80" w:type="dxa"/>
            </w:tcMar>
          </w:tcPr>
          <w:p w14:paraId="5BB94031">
            <w:pPr>
              <w:jc w:val="center"/>
            </w:pPr>
            <w:r>
              <w:rPr>
                <w:sz w:val="18"/>
              </w:rPr>
              <w:t>03</w:t>
            </w:r>
          </w:p>
        </w:tc>
        <w:tc>
          <w:tcPr>
            <w:tcW w:w="2041" w:type="dxa"/>
            <w:tcMar>
              <w:top w:w="100" w:type="dxa"/>
              <w:left w:w="80" w:type="dxa"/>
              <w:bottom w:w="100" w:type="dxa"/>
              <w:right w:w="80" w:type="dxa"/>
            </w:tcMar>
          </w:tcPr>
          <w:p w14:paraId="67CD149C">
            <w:pPr>
              <w:jc w:val="left"/>
            </w:pPr>
            <w:r>
              <w:rPr>
                <w:sz w:val="18"/>
              </w:rPr>
              <w:t>生命周期遗漏</w:t>
            </w:r>
          </w:p>
        </w:tc>
        <w:tc>
          <w:tcPr>
            <w:tcW w:w="3855" w:type="dxa"/>
            <w:tcMar>
              <w:top w:w="100" w:type="dxa"/>
              <w:left w:w="80" w:type="dxa"/>
              <w:bottom w:w="100" w:type="dxa"/>
              <w:right w:w="80" w:type="dxa"/>
            </w:tcMar>
          </w:tcPr>
          <w:p w14:paraId="2E1A1AFA">
            <w:pPr>
              <w:jc w:val="left"/>
            </w:pPr>
            <w:r>
              <w:rPr>
                <w:sz w:val="18"/>
              </w:rPr>
              <w:t>切换到备份恢复页显示空白，必须手动点击刷新</w:t>
            </w:r>
          </w:p>
        </w:tc>
        <w:tc>
          <w:tcPr>
            <w:tcW w:w="1247" w:type="dxa"/>
            <w:tcMar>
              <w:top w:w="100" w:type="dxa"/>
              <w:left w:w="80" w:type="dxa"/>
              <w:bottom w:w="100" w:type="dxa"/>
              <w:right w:w="80" w:type="dxa"/>
            </w:tcMar>
          </w:tcPr>
          <w:p w14:paraId="211186B3">
            <w:pPr>
              <w:jc w:val="center"/>
            </w:pPr>
            <w:r>
              <w:rPr>
                <w:b/>
                <w:color w:val="D97706"/>
                <w:sz w:val="18"/>
              </w:rPr>
              <w:t>高</w:t>
            </w:r>
          </w:p>
        </w:tc>
        <w:tc>
          <w:tcPr>
            <w:tcW w:w="1134" w:type="dxa"/>
            <w:tcMar>
              <w:top w:w="100" w:type="dxa"/>
              <w:left w:w="80" w:type="dxa"/>
              <w:bottom w:w="100" w:type="dxa"/>
              <w:right w:w="80" w:type="dxa"/>
            </w:tcMar>
          </w:tcPr>
          <w:p w14:paraId="54247CE6">
            <w:pPr>
              <w:jc w:val="center"/>
            </w:pPr>
            <w:r>
              <w:rPr>
                <w:sz w:val="18"/>
              </w:rPr>
              <w:t>极低</w:t>
            </w:r>
          </w:p>
        </w:tc>
      </w:tr>
      <w:tr w14:paraId="300AAB95">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794" w:type="dxa"/>
            <w:tcMar>
              <w:top w:w="100" w:type="dxa"/>
              <w:left w:w="80" w:type="dxa"/>
              <w:bottom w:w="100" w:type="dxa"/>
              <w:right w:w="80" w:type="dxa"/>
            </w:tcMar>
          </w:tcPr>
          <w:p w14:paraId="3F55B31F">
            <w:pPr>
              <w:jc w:val="center"/>
            </w:pPr>
            <w:r>
              <w:rPr>
                <w:sz w:val="18"/>
              </w:rPr>
              <w:t>04</w:t>
            </w:r>
          </w:p>
        </w:tc>
        <w:tc>
          <w:tcPr>
            <w:tcW w:w="2041" w:type="dxa"/>
            <w:tcMar>
              <w:top w:w="100" w:type="dxa"/>
              <w:left w:w="80" w:type="dxa"/>
              <w:bottom w:w="100" w:type="dxa"/>
              <w:right w:w="80" w:type="dxa"/>
            </w:tcMar>
          </w:tcPr>
          <w:p w14:paraId="1E5C371C">
            <w:pPr>
              <w:jc w:val="left"/>
            </w:pPr>
            <w:r>
              <w:rPr>
                <w:sz w:val="18"/>
              </w:rPr>
              <w:t>权限双头配置割裂</w:t>
            </w:r>
          </w:p>
        </w:tc>
        <w:tc>
          <w:tcPr>
            <w:tcW w:w="3855" w:type="dxa"/>
            <w:tcMar>
              <w:top w:w="100" w:type="dxa"/>
              <w:left w:w="80" w:type="dxa"/>
              <w:bottom w:w="100" w:type="dxa"/>
              <w:right w:w="80" w:type="dxa"/>
            </w:tcMar>
          </w:tcPr>
          <w:p w14:paraId="026632FC">
            <w:pPr>
              <w:jc w:val="left"/>
            </w:pPr>
            <w:r>
              <w:rPr>
                <w:sz w:val="18"/>
              </w:rPr>
              <w:t>权限配置入口分散在两个 Tab，新老机制混杂</w:t>
            </w:r>
          </w:p>
        </w:tc>
        <w:tc>
          <w:tcPr>
            <w:tcW w:w="1247" w:type="dxa"/>
            <w:tcMar>
              <w:top w:w="100" w:type="dxa"/>
              <w:left w:w="80" w:type="dxa"/>
              <w:bottom w:w="100" w:type="dxa"/>
              <w:right w:w="80" w:type="dxa"/>
            </w:tcMar>
          </w:tcPr>
          <w:p w14:paraId="5AF585F3">
            <w:pPr>
              <w:jc w:val="center"/>
            </w:pPr>
            <w:r>
              <w:rPr>
                <w:b/>
                <w:color w:val="D97706"/>
                <w:sz w:val="18"/>
              </w:rPr>
              <w:t>高</w:t>
            </w:r>
          </w:p>
        </w:tc>
        <w:tc>
          <w:tcPr>
            <w:tcW w:w="1134" w:type="dxa"/>
            <w:tcMar>
              <w:top w:w="100" w:type="dxa"/>
              <w:left w:w="80" w:type="dxa"/>
              <w:bottom w:w="100" w:type="dxa"/>
              <w:right w:w="80" w:type="dxa"/>
            </w:tcMar>
          </w:tcPr>
          <w:p w14:paraId="276D3EB4">
            <w:pPr>
              <w:jc w:val="center"/>
            </w:pPr>
            <w:r>
              <w:rPr>
                <w:sz w:val="18"/>
              </w:rPr>
              <w:t>中</w:t>
            </w:r>
          </w:p>
        </w:tc>
      </w:tr>
      <w:tr w14:paraId="0A6F54E6">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794" w:type="dxa"/>
            <w:tcMar>
              <w:top w:w="100" w:type="dxa"/>
              <w:left w:w="80" w:type="dxa"/>
              <w:bottom w:w="100" w:type="dxa"/>
              <w:right w:w="80" w:type="dxa"/>
            </w:tcMar>
          </w:tcPr>
          <w:p w14:paraId="6638372B">
            <w:pPr>
              <w:jc w:val="center"/>
            </w:pPr>
            <w:r>
              <w:rPr>
                <w:sz w:val="18"/>
              </w:rPr>
              <w:t>05</w:t>
            </w:r>
          </w:p>
        </w:tc>
        <w:tc>
          <w:tcPr>
            <w:tcW w:w="2041" w:type="dxa"/>
            <w:tcMar>
              <w:top w:w="100" w:type="dxa"/>
              <w:left w:w="80" w:type="dxa"/>
              <w:bottom w:w="100" w:type="dxa"/>
              <w:right w:w="80" w:type="dxa"/>
            </w:tcMar>
          </w:tcPr>
          <w:p w14:paraId="57D34767">
            <w:pPr>
              <w:jc w:val="left"/>
            </w:pPr>
            <w:r>
              <w:rPr>
                <w:sz w:val="18"/>
              </w:rPr>
              <w:t>返回链路缺失</w:t>
            </w:r>
          </w:p>
        </w:tc>
        <w:tc>
          <w:tcPr>
            <w:tcW w:w="3855" w:type="dxa"/>
            <w:tcMar>
              <w:top w:w="100" w:type="dxa"/>
              <w:left w:w="80" w:type="dxa"/>
              <w:bottom w:w="100" w:type="dxa"/>
              <w:right w:w="80" w:type="dxa"/>
            </w:tcMar>
          </w:tcPr>
          <w:p w14:paraId="77398B64">
            <w:pPr>
              <w:jc w:val="left"/>
            </w:pPr>
            <w:r>
              <w:rPr>
                <w:sz w:val="18"/>
              </w:rPr>
              <w:t>进入后台后无法一键返回原业务页面，操作路径冗长</w:t>
            </w:r>
          </w:p>
        </w:tc>
        <w:tc>
          <w:tcPr>
            <w:tcW w:w="1247" w:type="dxa"/>
            <w:tcMar>
              <w:top w:w="100" w:type="dxa"/>
              <w:left w:w="80" w:type="dxa"/>
              <w:bottom w:w="100" w:type="dxa"/>
              <w:right w:w="80" w:type="dxa"/>
            </w:tcMar>
          </w:tcPr>
          <w:p w14:paraId="72544102">
            <w:pPr>
              <w:jc w:val="center"/>
            </w:pPr>
            <w:r>
              <w:rPr>
                <w:b/>
                <w:sz w:val="18"/>
              </w:rPr>
              <w:t>中</w:t>
            </w:r>
          </w:p>
        </w:tc>
        <w:tc>
          <w:tcPr>
            <w:tcW w:w="1134" w:type="dxa"/>
            <w:tcMar>
              <w:top w:w="100" w:type="dxa"/>
              <w:left w:w="80" w:type="dxa"/>
              <w:bottom w:w="100" w:type="dxa"/>
              <w:right w:w="80" w:type="dxa"/>
            </w:tcMar>
          </w:tcPr>
          <w:p w14:paraId="6726843A">
            <w:pPr>
              <w:jc w:val="center"/>
            </w:pPr>
            <w:r>
              <w:rPr>
                <w:sz w:val="18"/>
              </w:rPr>
              <w:t>低</w:t>
            </w:r>
          </w:p>
        </w:tc>
      </w:tr>
      <w:tr w14:paraId="54DD65C5">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794" w:type="dxa"/>
            <w:tcMar>
              <w:top w:w="100" w:type="dxa"/>
              <w:left w:w="80" w:type="dxa"/>
              <w:bottom w:w="100" w:type="dxa"/>
              <w:right w:w="80" w:type="dxa"/>
            </w:tcMar>
          </w:tcPr>
          <w:p w14:paraId="7684A49B">
            <w:pPr>
              <w:jc w:val="center"/>
            </w:pPr>
            <w:r>
              <w:rPr>
                <w:sz w:val="18"/>
              </w:rPr>
              <w:t>06</w:t>
            </w:r>
          </w:p>
        </w:tc>
        <w:tc>
          <w:tcPr>
            <w:tcW w:w="2041" w:type="dxa"/>
            <w:tcMar>
              <w:top w:w="100" w:type="dxa"/>
              <w:left w:w="80" w:type="dxa"/>
              <w:bottom w:w="100" w:type="dxa"/>
              <w:right w:w="80" w:type="dxa"/>
            </w:tcMar>
          </w:tcPr>
          <w:p w14:paraId="0940EBB1">
            <w:pPr>
              <w:jc w:val="left"/>
            </w:pPr>
            <w:r>
              <w:rPr>
                <w:sz w:val="18"/>
              </w:rPr>
              <w:t>单文件臃肿</w:t>
            </w:r>
          </w:p>
        </w:tc>
        <w:tc>
          <w:tcPr>
            <w:tcW w:w="3855" w:type="dxa"/>
            <w:tcMar>
              <w:top w:w="100" w:type="dxa"/>
              <w:left w:w="80" w:type="dxa"/>
              <w:bottom w:w="100" w:type="dxa"/>
              <w:right w:w="80" w:type="dxa"/>
            </w:tcMar>
          </w:tcPr>
          <w:p w14:paraId="6D69065D">
            <w:pPr>
              <w:jc w:val="left"/>
            </w:pPr>
            <w:r>
              <w:rPr>
                <w:sz w:val="18"/>
              </w:rPr>
              <w:t>6470 行单文件组件维护困难，存在隐式状态污染风险</w:t>
            </w:r>
          </w:p>
        </w:tc>
        <w:tc>
          <w:tcPr>
            <w:tcW w:w="1247" w:type="dxa"/>
            <w:tcMar>
              <w:top w:w="100" w:type="dxa"/>
              <w:left w:w="80" w:type="dxa"/>
              <w:bottom w:w="100" w:type="dxa"/>
              <w:right w:w="80" w:type="dxa"/>
            </w:tcMar>
          </w:tcPr>
          <w:p w14:paraId="323F30C1">
            <w:pPr>
              <w:jc w:val="center"/>
            </w:pPr>
            <w:r>
              <w:rPr>
                <w:b/>
                <w:color w:val="DC2626"/>
                <w:sz w:val="18"/>
              </w:rPr>
              <w:t>极高</w:t>
            </w:r>
          </w:p>
        </w:tc>
        <w:tc>
          <w:tcPr>
            <w:tcW w:w="1134" w:type="dxa"/>
            <w:tcMar>
              <w:top w:w="100" w:type="dxa"/>
              <w:left w:w="80" w:type="dxa"/>
              <w:bottom w:w="100" w:type="dxa"/>
              <w:right w:w="80" w:type="dxa"/>
            </w:tcMar>
          </w:tcPr>
          <w:p w14:paraId="29742F65">
            <w:pPr>
              <w:jc w:val="center"/>
            </w:pPr>
            <w:r>
              <w:rPr>
                <w:sz w:val="18"/>
              </w:rPr>
              <w:t>中（模块化）</w:t>
            </w:r>
          </w:p>
        </w:tc>
      </w:tr>
    </w:tbl>
    <w:p w14:paraId="1B82E581">
      <w:pPr>
        <w:pStyle w:val="3"/>
        <w:spacing w:before="320" w:after="160"/>
      </w:pPr>
      <w:r>
        <w:rPr>
          <w:b/>
          <w:color w:val="0F172A"/>
          <w:sz w:val="26"/>
        </w:rPr>
        <w:t>四、 系统化分阶段修复实施方案</w:t>
      </w:r>
    </w:p>
    <w:p w14:paraId="130EDB9C">
      <w:pPr>
        <w:spacing w:after="160" w:line="324" w:lineRule="auto"/>
      </w:pPr>
      <w:r>
        <w:t>为保证生产环境的稳定与平滑过渡，强烈建议采取“两阶段实施策略”：优先实施第一阶段（低风险、高见效），彻底解决管理员最头痛的操作阻碍；再根据讨论结果推进第二阶段（架构模块化与功能收敛）。</w:t>
      </w:r>
    </w:p>
    <w:p w14:paraId="02B2D663">
      <w:pPr>
        <w:pStyle w:val="4"/>
        <w:spacing w:before="200" w:after="80"/>
      </w:pPr>
      <w:r>
        <w:rPr>
          <w:b/>
          <w:color w:val="16A34A"/>
          <w:sz w:val="22"/>
        </w:rPr>
        <w:t>▶ 阶段一：即时体验与性能修复（推荐优先执行 · 零风险立竿见影）</w:t>
      </w:r>
    </w:p>
    <w:p w14:paraId="2350CCBE">
      <w:pPr>
        <w:spacing w:after="80" w:line="312" w:lineRule="auto"/>
      </w:pPr>
      <w:r>
        <w:rPr>
          <w:b/>
        </w:rPr>
        <w:t>1. 路由 Query 状态双向绑定：</w:t>
      </w:r>
      <w:r>
        <w:t>接入 route.query.tab 与 route.query.sub，点击 Tab 自动同步 URL；刷新时优先恢复 URL 对应 Tab，彻底解决“刷新失忆”，支持书签直达。</w:t>
      </w:r>
    </w:p>
    <w:p w14:paraId="5543E4E4">
      <w:pPr>
        <w:spacing w:after="80" w:line="312" w:lineRule="auto"/>
      </w:pPr>
      <w:r>
        <w:rPr>
          <w:b/>
        </w:rPr>
        <w:t>2. 开启“按需懒加载”机制：</w:t>
      </w:r>
      <w:r>
        <w:t>清理 onMounted 中一股脑发起的 7 个重型请求；仅在管理员实际进入某个 Tab 时拉取对应数据，使管理后台首屏请求量骤降 70% 以上，实现秒开。</w:t>
      </w:r>
    </w:p>
    <w:p w14:paraId="6F4AD479">
      <w:pPr>
        <w:spacing w:after="80" w:line="312" w:lineRule="auto"/>
      </w:pPr>
      <w:r>
        <w:rPr>
          <w:b/>
        </w:rPr>
        <w:t>3. 补齐备份恢复生命周期：</w:t>
      </w:r>
      <w:r>
        <w:t>在 watch(activeTab) 中补充 db_backup 分支，自动触发 loadBackupList()，告别必须手动点刷新的体验缺陷。</w:t>
      </w:r>
    </w:p>
    <w:p w14:paraId="60CB8D3B">
      <w:pPr>
        <w:spacing w:after="200" w:line="312" w:lineRule="auto"/>
      </w:pPr>
      <w:r>
        <w:rPr>
          <w:b/>
        </w:rPr>
        <w:t>4. 增加“返回工作现场”快捷通道：</w:t>
      </w:r>
      <w:r>
        <w:t>进入后台时携带来源路径参数，在面包屑旁提供一键返回业务页面的快捷按钮，消除冗长的重新点入路径。</w:t>
      </w:r>
    </w:p>
    <w:p w14:paraId="26EB54EC">
      <w:pPr>
        <w:pStyle w:val="4"/>
        <w:spacing w:before="200" w:after="80"/>
      </w:pPr>
      <w:r>
        <w:rPr>
          <w:b/>
          <w:color w:val="2563EB"/>
          <w:sz w:val="22"/>
        </w:rPr>
        <w:t>▶ 阶段二：架构治理与功能收敛（长效可维护 · 彻底解耦）</w:t>
      </w:r>
    </w:p>
    <w:p w14:paraId="747CB58B">
      <w:pPr>
        <w:spacing w:after="80" w:line="312" w:lineRule="auto"/>
      </w:pPr>
      <w:r>
        <w:rPr>
          <w:b/>
        </w:rPr>
        <w:t>1. 权限与设定入口归一化：</w:t>
      </w:r>
      <w:r>
        <w:t>将分散在“项目后台设定”中的旧版提交权限表格，统一收敛至“账户与权限管理 -&gt; 项目权限配置中心”三栏矩阵，消除特定项目的硬编码，实现全平台项目统一配置。</w:t>
      </w:r>
    </w:p>
    <w:p w14:paraId="7072D8DC">
      <w:pPr>
        <w:spacing w:after="240" w:line="312" w:lineRule="auto"/>
      </w:pPr>
      <w:r>
        <w:rPr>
          <w:b/>
        </w:rPr>
        <w:t>2. 6470 行巨石组件子模块化拆分：</w:t>
      </w:r>
      <w:r>
        <w:t>按 7 个功能 Tab 拆分为独立的子组件（AdminFilesTab.vue、AdminDatabaseTab.vue、AdminAccountsTab.vue、AdminBackupTab.vue 等），主页面代码精简至 200 行以内，从根本上提升代码质量与可维护性。</w:t>
      </w:r>
    </w:p>
    <w:p w14:paraId="0366338C">
      <w:pPr>
        <w:pStyle w:val="3"/>
        <w:spacing w:before="320" w:after="160"/>
      </w:pPr>
      <w:r>
        <w:rPr>
          <w:b/>
          <w:color w:val="0F172A"/>
          <w:sz w:val="26"/>
        </w:rPr>
        <w:t>五、 讨论与决策确认要点</w:t>
      </w:r>
    </w:p>
    <w:p w14:paraId="00822942">
      <w:pPr>
        <w:spacing w:after="120" w:line="312" w:lineRule="auto"/>
      </w:pPr>
      <w:r>
        <w:rPr>
          <w:color w:val="0F172A"/>
        </w:rPr>
        <w:t>1. 【执行节奏】是否优先执行【阶段一】的 4 项轻量级优化（URL 状态记忆、按需懒加载、备份自动加载、返回通道），在不破坏任何既有逻辑的前提下快速提升体验？</w:t>
      </w:r>
    </w:p>
    <w:p w14:paraId="73C00986">
      <w:pPr>
        <w:spacing w:after="120" w:line="312" w:lineRule="auto"/>
      </w:pPr>
      <w:r>
        <w:rPr>
          <w:color w:val="0F172A"/>
        </w:rPr>
        <w:t>2. 【默认首页】无参数直接访问 /admin-console 时，默认展示哪个 Tab 最符合您的管理习惯？（当前为“后台文件编辑”，可调整为“账户与权限管理”或“数据库备份与恢复”）</w:t>
      </w:r>
    </w:p>
    <w:p w14:paraId="586A57B6">
      <w:pPr>
        <w:spacing w:after="120" w:line="312" w:lineRule="auto"/>
      </w:pPr>
      <w:r>
        <w:rPr>
          <w:color w:val="0F172A"/>
        </w:rPr>
        <w:t>3. 【拆分规划】在阶段一验证完毕后，是否紧随其后对 6470 行单文件进行 7 个子组件的结构化拆分，以彻底根治代码臃肿隐患？</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ＭＳ 明朝">
    <w:altName w:val="ＭＳ 明朝"/>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方正FW筑紫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8C43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334155"/>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方正FW筑紫明朝 简 M"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FW筑紫明朝 简 M" w:asciiTheme="minorHAnsi" w:hAnsiTheme="minorHAnsi"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宋体" w:hAnsi="宋体"/>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1327</Words>
  <Characters>1645</Characters>
  <Lines>0</Lines>
  <Paragraphs>0</Paragraphs>
  <TotalTime>1</TotalTime>
  <ScaleCrop>false</ScaleCrop>
  <LinksUpToDate>false</LinksUpToDate>
  <CharactersWithSpaces>1736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王巍</cp:lastModifiedBy>
  <dcterms:modified xsi:type="dcterms:W3CDTF">2026-08-16T00:26:32Z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eyJoZGlkIjoiZjFmZWIzNDg2MmIzZjExOTIzMmViNTBmYTMwYTk0ZWYiLCJ1c2VySWQiOiIzMTg1MzIwNjYifQ==</vt:lpwstr>
  </property>
  <property fmtid="{D5CDD505-2E9C-101B-9397-08002B2CF9AE}" pid="3" name="KSOProductBuildVer">
    <vt:lpwstr>2052-12.1.0.28043</vt:lpwstr>
  </property>
  <property fmtid="{D5CDD505-2E9C-101B-9397-08002B2CF9AE}" pid="4" name="ICV">
    <vt:lpwstr>8A38E5B8A83B4C0DBCC302B76AD0E067_12</vt:lpwstr>
  </property>
</Properties>
</file>