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DBAEF">
      <w:pPr>
        <w:spacing w:before="160" w:after="60"/>
      </w:pPr>
      <w:bookmarkStart w:id="0" w:name="_GoBack"/>
      <w:bookmarkEnd w:id="0"/>
      <w:r>
        <w:rPr>
          <w:rFonts w:ascii="Calibri" w:hAnsi="Calibri" w:eastAsia="微软雅黑"/>
          <w:b/>
          <w:i w:val="0"/>
          <w:color w:val="2E74B5"/>
          <w:sz w:val="20"/>
        </w:rPr>
        <w:t>运行情况报告</w:t>
      </w:r>
    </w:p>
    <w:p w14:paraId="4A28D415">
      <w:pPr>
        <w:spacing w:before="0" w:after="120"/>
      </w:pPr>
      <w:r>
        <w:rPr>
          <w:rFonts w:ascii="Calibri" w:hAnsi="Calibri" w:eastAsia="微软雅黑"/>
          <w:b/>
          <w:i w:val="0"/>
          <w:color w:val="0B2545"/>
          <w:sz w:val="46"/>
        </w:rPr>
        <w:t>2026年度保温管供需管理平台</w:t>
      </w:r>
      <w:r>
        <w:rPr>
          <w:rFonts w:ascii="Calibri" w:hAnsi="Calibri" w:eastAsia="微软雅黑"/>
          <w:b/>
          <w:i w:val="0"/>
          <w:color w:val="0B2545"/>
          <w:sz w:val="46"/>
        </w:rPr>
        <w:br w:type="textWrapping"/>
      </w:r>
      <w:r>
        <w:rPr>
          <w:rFonts w:ascii="Calibri" w:hAnsi="Calibri" w:eastAsia="微软雅黑"/>
          <w:b/>
          <w:i w:val="0"/>
          <w:color w:val="0B2545"/>
          <w:sz w:val="46"/>
        </w:rPr>
        <w:t>上线运行情况报告</w:t>
      </w:r>
    </w:p>
    <w:p w14:paraId="64F2CA94">
      <w:pPr>
        <w:spacing w:after="280"/>
      </w:pPr>
      <w:r>
        <w:rPr>
          <w:rFonts w:ascii="Calibri" w:hAnsi="Calibri" w:eastAsia="微软雅黑"/>
          <w:b w:val="0"/>
          <w:i w:val="0"/>
          <w:color w:val="667085"/>
          <w:sz w:val="22"/>
        </w:rPr>
        <w:t>项目标识：insulation_pipe_supply_2026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B82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E4C4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统计项目</w:t>
            </w:r>
          </w:p>
        </w:tc>
        <w:tc>
          <w:tcPr>
            <w:tcW w:w="7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D6B2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报告口径</w:t>
            </w:r>
          </w:p>
        </w:tc>
      </w:tr>
      <w:tr w14:paraId="1D14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EB5F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统计期间</w:t>
            </w:r>
          </w:p>
        </w:tc>
        <w:tc>
          <w:tcPr>
            <w:tcW w:w="7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FC30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2026年7月30日至2026年8月9日，共11个自然日</w:t>
            </w:r>
          </w:p>
        </w:tc>
      </w:tr>
      <w:tr w14:paraId="4F63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4B73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数据截止</w:t>
            </w:r>
          </w:p>
        </w:tc>
        <w:tc>
          <w:tcPr>
            <w:tcW w:w="7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CBFB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2026年8月9日11:40（北京时间）</w:t>
            </w:r>
          </w:p>
        </w:tc>
      </w:tr>
      <w:tr w14:paraId="2373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80E6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数据来源</w:t>
            </w:r>
          </w:p>
        </w:tc>
        <w:tc>
          <w:tcPr>
            <w:tcW w:w="7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BFE4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业务数据库、项目审计日志、项目配置及当前容器运行状态</w:t>
            </w:r>
          </w:p>
        </w:tc>
      </w:tr>
      <w:tr w14:paraId="3F59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FA26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报告用途</w:t>
            </w:r>
          </w:p>
        </w:tc>
        <w:tc>
          <w:tcPr>
            <w:tcW w:w="7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C57F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公司内部运行汇报及上级单位平台应用成效展示准备</w:t>
            </w:r>
          </w:p>
        </w:tc>
      </w:tr>
    </w:tbl>
    <w:p w14:paraId="67313BE9">
      <w:pPr>
        <w:spacing w:before="80" w:after="80"/>
      </w:pPr>
      <w:r>
        <w:rPr>
          <w:rFonts w:ascii="Calibri" w:hAnsi="Calibri" w:eastAsia="微软雅黑"/>
          <w:b w:val="0"/>
          <w:i/>
          <w:color w:val="667085"/>
          <w:sz w:val="17"/>
        </w:rPr>
        <w:t>说明：本报告反映数据截止时点的业务账面情况；后续录入会使指标动态变化。</w:t>
      </w:r>
    </w:p>
    <w:p w14:paraId="19569DB4">
      <w:pPr>
        <w:pBdr>
          <w:left w:val="single" w:color="2E74B5" w:sz="18" w:space="0"/>
        </w:pBdr>
        <w:shd w:val="clear" w:fill="E8EEF5"/>
        <w:spacing w:before="80" w:after="160" w:line="264" w:lineRule="auto"/>
        <w:ind w:left="173" w:right="115"/>
      </w:pPr>
      <w:r>
        <w:rPr>
          <w:rFonts w:ascii="Calibri" w:hAnsi="Calibri" w:eastAsia="微软雅黑"/>
          <w:b/>
          <w:i w:val="0"/>
          <w:color w:val="2E74B5"/>
          <w:sz w:val="22"/>
        </w:rPr>
        <w:t xml:space="preserve">核心判断  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平台已经真实投入使用，计划、发货、到货、施工接收、仓库确认、库存核算和审计追溯等核心链路均已跑通。当前应重点解决三日计划滚动补齐、每日消耗连续填报和超时车次处置问题，使平台由“能使用”进一步转向“持续、及时、准确地使用”。</w:t>
      </w:r>
    </w:p>
    <w:p w14:paraId="247265D4">
      <w:pPr>
        <w:pStyle w:val="3"/>
      </w:pPr>
      <w:r>
        <w:t>一、总体运行概况</w:t>
      </w:r>
    </w:p>
    <w:p w14:paraId="4B5FC9F6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平台上线运行约10天以来，已经从单纯的数据展示页面发展为覆盖需求侧、供给侧、现场接收、仓储确认的业务协同平台。当前前端、后端和数据库容器均处于运行状态，数据库健康检查正常；抽查最近300条后端日志，核心业务接口主要返回200，未发现5xx错误。由于容器近期发生过重启，本报告不将当前运行时长等同于连续10天可用率。</w:t>
      </w:r>
    </w:p>
    <w:p w14:paraId="3FCED0C7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表1  核心运行指标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2200"/>
        <w:gridCol w:w="2300"/>
        <w:gridCol w:w="3610"/>
      </w:tblGrid>
      <w:tr w14:paraId="0E0E5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3BB1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类别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CD81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核心指标</w:t>
            </w:r>
          </w:p>
        </w:tc>
        <w:tc>
          <w:tcPr>
            <w:tcW w:w="2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8ED7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当前数据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F45C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管理含义</w:t>
            </w:r>
          </w:p>
        </w:tc>
      </w:tr>
      <w:tr w14:paraId="4247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D4F5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系统运行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0045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当前服务状态</w:t>
            </w:r>
          </w:p>
        </w:tc>
        <w:tc>
          <w:tcPr>
            <w:tcW w:w="2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70B7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前端、后端、数据库均在线；数据库健康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D8BF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当前可正常提供业务服务</w:t>
            </w:r>
          </w:p>
        </w:tc>
      </w:tr>
      <w:tr w14:paraId="3F534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F9E9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人员使用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01D9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参与账号</w:t>
            </w:r>
          </w:p>
        </w:tc>
        <w:tc>
          <w:tcPr>
            <w:tcW w:w="2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5B02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9个账号、5类业务角色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A059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已形成多角色协同使用</w:t>
            </w:r>
          </w:p>
        </w:tc>
      </w:tr>
      <w:tr w14:paraId="35389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1EF1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操作留痕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9A4A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审计记录</w:t>
            </w:r>
          </w:p>
        </w:tc>
        <w:tc>
          <w:tcPr>
            <w:tcW w:w="2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CF3A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155条，其中核心业务动作55条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E570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关键操作可追溯到人和时间</w:t>
            </w:r>
          </w:p>
        </w:tc>
      </w:tr>
      <w:tr w14:paraId="21A6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2DDB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物流供应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52D5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发货规模</w:t>
            </w:r>
          </w:p>
        </w:tc>
        <w:tc>
          <w:tcPr>
            <w:tcW w:w="2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B5ED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16车、840米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685B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供货业务已实际进入平台</w:t>
            </w:r>
          </w:p>
        </w:tc>
      </w:tr>
      <w:tr w14:paraId="35E5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E202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闭环完成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DC22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已完成车次</w:t>
            </w:r>
          </w:p>
        </w:tc>
        <w:tc>
          <w:tcPr>
            <w:tcW w:w="2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49DC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11车、504米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DE59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已完成到货、接收和仓库确认</w:t>
            </w:r>
          </w:p>
        </w:tc>
      </w:tr>
      <w:tr w14:paraId="595A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ECE4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现场账面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8867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使用量/库存</w:t>
            </w:r>
          </w:p>
        </w:tc>
        <w:tc>
          <w:tcPr>
            <w:tcW w:w="2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48BA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使用228米；库存276米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092B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已形成用量与库存联动台账</w:t>
            </w:r>
          </w:p>
        </w:tc>
      </w:tr>
      <w:tr w14:paraId="1B40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96C4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物流履约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4A3D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24小时到货达成率</w:t>
            </w:r>
          </w:p>
        </w:tc>
        <w:tc>
          <w:tcPr>
            <w:tcW w:w="2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EC1F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90.9%（10/11）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5CF0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当前刚达到90%管理基准</w:t>
            </w:r>
          </w:p>
        </w:tc>
      </w:tr>
    </w:tbl>
    <w:p w14:paraId="60B9FF96">
      <w:pPr>
        <w:spacing w:before="80" w:after="80"/>
      </w:pPr>
      <w:r>
        <w:rPr>
          <w:rFonts w:ascii="Calibri" w:hAnsi="Calibri" w:eastAsia="微软雅黑"/>
          <w:b w:val="0"/>
          <w:i/>
          <w:color w:val="667085"/>
          <w:sz w:val="17"/>
        </w:rPr>
        <w:t>数据来源：tube业务表、logs.tube_operation_logs及Docker当前状态；统计截止2026年8月9日11:40。</w:t>
      </w:r>
    </w:p>
    <w:p w14:paraId="2BED3FFB">
      <w:pPr>
        <w:pStyle w:val="3"/>
      </w:pPr>
      <w:r>
        <w:t>二、平台功能与业务闭环</w:t>
      </w:r>
    </w:p>
    <w:p w14:paraId="2D9E1631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平台由6个已上线业务页面组成，形成“需求计划—厂家发货—现场到货—施工接收—仓库确认—库存与缺口分析—历史追溯”的完整链路。</w:t>
      </w:r>
    </w:p>
    <w:p w14:paraId="284F3B00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表2  平台功能分类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500"/>
        <w:gridCol w:w="3600"/>
        <w:gridCol w:w="2960"/>
      </w:tblGrid>
      <w:tr w14:paraId="5605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319D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功能类别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4929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页面/模块</w:t>
            </w:r>
          </w:p>
        </w:tc>
        <w:tc>
          <w:tcPr>
            <w:tcW w:w="3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8DF4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主要功能</w:t>
            </w:r>
          </w:p>
        </w:tc>
        <w:tc>
          <w:tcPr>
            <w:tcW w:w="2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5D12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形成的管理结果</w:t>
            </w:r>
          </w:p>
        </w:tc>
      </w:tr>
      <w:tr w14:paraId="6EFA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B210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综合决策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8EB3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综合驾驶舱</w:t>
            </w:r>
          </w:p>
        </w:tc>
        <w:tc>
          <w:tcPr>
            <w:tcW w:w="3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8B54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汇总计划、在途、到货、使用、库存、缺口、天气及OTD/PCR/SSR等指标</w:t>
            </w:r>
          </w:p>
        </w:tc>
        <w:tc>
          <w:tcPr>
            <w:tcW w:w="2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4B18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领导能够快速掌握供需与风险全貌</w:t>
            </w:r>
          </w:p>
        </w:tc>
      </w:tr>
      <w:tr w14:paraId="0A661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3238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需求管理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2497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需求管理</w:t>
            </w:r>
          </w:p>
        </w:tc>
        <w:tc>
          <w:tcPr>
            <w:tcW w:w="3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EFAD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三日滚动计划、每日使用和损耗、到货接收、正式提交状态</w:t>
            </w:r>
          </w:p>
        </w:tc>
        <w:tc>
          <w:tcPr>
            <w:tcW w:w="2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7D07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将施工需求和现场消耗纳入统一台账</w:t>
            </w:r>
          </w:p>
        </w:tc>
      </w:tr>
      <w:tr w14:paraId="19B2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5580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供给管理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9AD7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供给管理</w:t>
            </w:r>
          </w:p>
        </w:tc>
        <w:tc>
          <w:tcPr>
            <w:tcW w:w="3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C13D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订单、车次、规格、数量、车辆和发货时间管理</w:t>
            </w:r>
          </w:p>
        </w:tc>
        <w:tc>
          <w:tcPr>
            <w:tcW w:w="2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D6BD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厂家供货过程线上留痕</w:t>
            </w:r>
          </w:p>
        </w:tc>
      </w:tr>
      <w:tr w14:paraId="7B792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EDE7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仓储管理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5285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仓库管理</w:t>
            </w:r>
          </w:p>
        </w:tc>
        <w:tc>
          <w:tcPr>
            <w:tcW w:w="3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7591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到货、施工接收、差异审批、仓库确认及超时处理</w:t>
            </w:r>
          </w:p>
        </w:tc>
        <w:tc>
          <w:tcPr>
            <w:tcW w:w="2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5C20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形成多方确认的物流闭环</w:t>
            </w:r>
          </w:p>
        </w:tc>
      </w:tr>
      <w:tr w14:paraId="36F0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8AAA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历史追溯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C75A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历史查询</w:t>
            </w:r>
          </w:p>
        </w:tc>
        <w:tc>
          <w:tcPr>
            <w:tcW w:w="3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F46C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按时间、标段、规格查询计划、到货、使用和损耗</w:t>
            </w:r>
          </w:p>
        </w:tc>
        <w:tc>
          <w:tcPr>
            <w:tcW w:w="2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F416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支持追溯和复盘</w:t>
            </w:r>
          </w:p>
        </w:tc>
      </w:tr>
      <w:tr w14:paraId="1C51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7AEF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基础治理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9570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全局管理</w:t>
            </w:r>
          </w:p>
        </w:tc>
        <w:tc>
          <w:tcPr>
            <w:tcW w:w="3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307D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标段、厂家、人员、规格、基准量、日期和天气配置</w:t>
            </w:r>
          </w:p>
        </w:tc>
        <w:tc>
          <w:tcPr>
            <w:tcW w:w="2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95FC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支撑多角色权限和统一业务口径</w:t>
            </w:r>
          </w:p>
        </w:tc>
      </w:tr>
    </w:tbl>
    <w:p w14:paraId="2A3B9FC8">
      <w:pPr>
        <w:spacing w:before="80" w:after="80"/>
      </w:pPr>
      <w:r>
        <w:rPr>
          <w:rFonts w:ascii="Calibri" w:hAnsi="Calibri" w:eastAsia="微软雅黑"/>
          <w:b w:val="0"/>
          <w:i/>
          <w:color w:val="667085"/>
          <w:sz w:val="17"/>
        </w:rPr>
        <w:t>实现链路：前端6个已上线页面由TubeProjectPageRouterView统一路由；后端workspace与services模块负责计划、用量、发货、接收、仓储、天气和审计处理。</w:t>
      </w:r>
    </w:p>
    <w:p w14:paraId="198497E5">
      <w:r>
        <w:br w:type="page"/>
      </w:r>
    </w:p>
    <w:p w14:paraId="23DAB0F5">
      <w:pPr>
        <w:pStyle w:val="3"/>
      </w:pPr>
      <w:r>
        <w:t>三、平台使用与人员参与情况</w:t>
      </w:r>
    </w:p>
    <w:p w14:paraId="0242130C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统计期内共有9个账号实际留下项目操作记录，覆盖全局管理员、现场管理人员、施工单位、供应商和库管5类角色。11个自然日中有10天产生项目审计动作，说明平台并非只在上线当天试用，而是已经出现连续使用。核心业务动作分布在8个自然日。</w:t>
      </w:r>
    </w:p>
    <w:p w14:paraId="08264E46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表3  各类角色参与情况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1500"/>
        <w:gridCol w:w="4560"/>
      </w:tblGrid>
      <w:tr w14:paraId="65F4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D78A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角色类别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57DA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参与账号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7481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审计动作</w:t>
            </w:r>
          </w:p>
        </w:tc>
        <w:tc>
          <w:tcPr>
            <w:tcW w:w="4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A6CF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主要职责</w:t>
            </w:r>
          </w:p>
        </w:tc>
      </w:tr>
      <w:tr w14:paraId="5766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A227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全局管理员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E1EB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B6CD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109</w:t>
            </w:r>
          </w:p>
        </w:tc>
        <w:tc>
          <w:tcPr>
            <w:tcW w:w="4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D980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配置维护、测试验证及部分业务补录</w:t>
            </w:r>
          </w:p>
        </w:tc>
      </w:tr>
      <w:tr w14:paraId="13F5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ACD1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现场管理人员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CAB1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252B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16</w:t>
            </w:r>
          </w:p>
        </w:tc>
        <w:tc>
          <w:tcPr>
            <w:tcW w:w="4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10B2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计划填报、到货确认和正式提交</w:t>
            </w:r>
          </w:p>
        </w:tc>
      </w:tr>
      <w:tr w14:paraId="69F0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D4C2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施工单位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719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C705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w="4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61DE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计划填报、施工接收和提交状态</w:t>
            </w:r>
          </w:p>
        </w:tc>
      </w:tr>
      <w:tr w14:paraId="59FA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C5D8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供应商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E42A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7ECB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w="4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7A13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厂家发货和车次信息录入</w:t>
            </w:r>
          </w:p>
        </w:tc>
      </w:tr>
      <w:tr w14:paraId="35C83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3234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库管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EBE4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3802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w="4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E2FE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仓库确认和手续闭环</w:t>
            </w:r>
          </w:p>
        </w:tc>
      </w:tr>
      <w:tr w14:paraId="11CC1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E24D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合计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7D47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EE21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155</w:t>
            </w:r>
          </w:p>
        </w:tc>
        <w:tc>
          <w:tcPr>
            <w:tcW w:w="4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818E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覆盖5类角色</w:t>
            </w:r>
          </w:p>
        </w:tc>
      </w:tr>
    </w:tbl>
    <w:p w14:paraId="28D0D82C">
      <w:pPr>
        <w:spacing w:before="80" w:after="80"/>
      </w:pPr>
      <w:r>
        <w:rPr>
          <w:rFonts w:ascii="Calibri" w:hAnsi="Calibri" w:eastAsia="微软雅黑"/>
          <w:b w:val="0"/>
          <w:i/>
          <w:color w:val="667085"/>
          <w:sz w:val="17"/>
        </w:rPr>
        <w:t>注：全局管理员动作中包含100次配置调整，因此审计动作总数不能直接等同于一线填报量。</w:t>
      </w:r>
    </w:p>
    <w:p w14:paraId="406144E7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表4  核心业务动作构成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1100"/>
        <w:gridCol w:w="1400"/>
        <w:gridCol w:w="4410"/>
      </w:tblGrid>
      <w:tr w14:paraId="053F9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2060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业务动作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4D1D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次数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2A25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参与账号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D1B6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295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728A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创建发货记录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3E38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16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B36F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38F9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形成订单、车次、规格和发货数量</w:t>
            </w:r>
          </w:p>
        </w:tc>
      </w:tr>
      <w:tr w14:paraId="13524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ECBB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现场到货确认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4037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F1AB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D5E1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确认物资到达现场</w:t>
            </w:r>
          </w:p>
        </w:tc>
      </w:tr>
      <w:tr w14:paraId="4A40E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438A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仓库确认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65EC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4C43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C4E7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完成仓储手续闭环</w:t>
            </w:r>
          </w:p>
        </w:tc>
      </w:tr>
      <w:tr w14:paraId="764E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FFA1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三日计划保存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F555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AF98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3F02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滚动更新施工计划</w:t>
            </w:r>
          </w:p>
        </w:tc>
      </w:tr>
      <w:tr w14:paraId="1C13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7670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正式提交状态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F099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8060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4F3E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标记本站填报完成</w:t>
            </w:r>
          </w:p>
        </w:tc>
      </w:tr>
      <w:tr w14:paraId="6190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A411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施工接收确认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0DDD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B6E0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9223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确认施工单位实际接收</w:t>
            </w:r>
          </w:p>
        </w:tc>
      </w:tr>
      <w:tr w14:paraId="610DD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1504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使用与损耗提交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864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C548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65EC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录入现场使用和损耗</w:t>
            </w:r>
          </w:p>
        </w:tc>
      </w:tr>
      <w:tr w14:paraId="4B2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8E70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核心业务动作合计</w:t>
            </w:r>
          </w:p>
        </w:tc>
        <w:tc>
          <w:tcPr>
            <w:tcW w:w="1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B296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55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9E4A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w="4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EA99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不含100次配置调整</w:t>
            </w:r>
          </w:p>
        </w:tc>
      </w:tr>
    </w:tbl>
    <w:p w14:paraId="3E0C4E2C">
      <w:pPr>
        <w:pBdr>
          <w:left w:val="single" w:color="1F4D78" w:sz="18" w:space="0"/>
        </w:pBdr>
        <w:shd w:val="clear" w:fill="F8FAFC"/>
        <w:spacing w:before="80" w:after="160" w:line="264" w:lineRule="auto"/>
        <w:ind w:left="173" w:right="115"/>
      </w:pPr>
      <w:r>
        <w:rPr>
          <w:rFonts w:ascii="Calibri" w:hAnsi="Calibri" w:eastAsia="微软雅黑"/>
          <w:b/>
          <w:i w:val="0"/>
          <w:color w:val="1F4D78"/>
          <w:sz w:val="22"/>
        </w:rPr>
        <w:t xml:space="preserve">使用判断  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多角色业务链已经建立，但实际业务高度集中在1个施工中标段和1个供货主体。随着其他4个标段开工，需要提前组织账号、权限和填报培训，避免业务规模扩大后集中补录。</w:t>
      </w:r>
    </w:p>
    <w:p w14:paraId="22BB853C">
      <w:pPr>
        <w:pStyle w:val="3"/>
      </w:pPr>
      <w:r>
        <w:t>四、业务数据录入规模</w:t>
      </w:r>
    </w:p>
    <w:p w14:paraId="50F2F0B2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平台当前配置5个施工标段和3个供给主体，其中高温水标段1处于施工中，其他4个标段尚未开工。现有业务数据集中在高温水标段1，符合当前施工阶段，但不应对外表述为5个标段均已全面使用。</w:t>
      </w:r>
    </w:p>
    <w:p w14:paraId="6983C02A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表5  已录入业务数据分类统计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050"/>
        <w:gridCol w:w="1750"/>
        <w:gridCol w:w="2210"/>
        <w:gridCol w:w="1550"/>
      </w:tblGrid>
      <w:tr w14:paraId="04D3D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D4B9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数据类别</w:t>
            </w:r>
          </w:p>
        </w:tc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F28A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记录规模</w:t>
            </w:r>
          </w:p>
        </w:tc>
        <w:tc>
          <w:tcPr>
            <w:tcW w:w="1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5E2C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数量规模</w:t>
            </w:r>
          </w:p>
        </w:tc>
        <w:tc>
          <w:tcPr>
            <w:tcW w:w="22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9E07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覆盖范围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B5E5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最新更新时间</w:t>
            </w:r>
          </w:p>
        </w:tc>
      </w:tr>
      <w:tr w14:paraId="3CB2D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1A9D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三日计划</w:t>
            </w:r>
          </w:p>
        </w:tc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D7F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94条单元记录；11条非零</w:t>
            </w:r>
          </w:p>
        </w:tc>
        <w:tc>
          <w:tcPr>
            <w:tcW w:w="1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EBD1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累计计划430米</w:t>
            </w:r>
          </w:p>
        </w:tc>
        <w:tc>
          <w:tcPr>
            <w:tcW w:w="22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9AE5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2个标段、12个计划日期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3E20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8月8日22:12</w:t>
            </w:r>
          </w:p>
        </w:tc>
      </w:tr>
      <w:tr w14:paraId="4612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CF6D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实际使用与损耗</w:t>
            </w:r>
          </w:p>
        </w:tc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E912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2条非零记录</w:t>
            </w:r>
          </w:p>
        </w:tc>
        <w:tc>
          <w:tcPr>
            <w:tcW w:w="1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BFEE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使用228米；损耗0米</w:t>
            </w:r>
          </w:p>
        </w:tc>
        <w:tc>
          <w:tcPr>
            <w:tcW w:w="22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F8B1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1个标段、1种规格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F1FB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8月4日14:38</w:t>
            </w:r>
          </w:p>
        </w:tc>
      </w:tr>
      <w:tr w14:paraId="3978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416A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保温管发货</w:t>
            </w:r>
          </w:p>
        </w:tc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0B66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16个车次</w:t>
            </w:r>
          </w:p>
        </w:tc>
        <w:tc>
          <w:tcPr>
            <w:tcW w:w="1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0D26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发货840米</w:t>
            </w:r>
          </w:p>
        </w:tc>
        <w:tc>
          <w:tcPr>
            <w:tcW w:w="22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AB3C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1个标段、3种规格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D240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8月8日15:21</w:t>
            </w:r>
          </w:p>
        </w:tc>
      </w:tr>
      <w:tr w14:paraId="0E7F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54E9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完成到货/接收</w:t>
            </w:r>
          </w:p>
        </w:tc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A1F7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11个车次</w:t>
            </w:r>
          </w:p>
        </w:tc>
        <w:tc>
          <w:tcPr>
            <w:tcW w:w="1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790D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504米</w:t>
            </w:r>
          </w:p>
        </w:tc>
        <w:tc>
          <w:tcPr>
            <w:tcW w:w="22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0F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1个标段、1种规格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99A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8月7日完成主要闭环</w:t>
            </w:r>
          </w:p>
        </w:tc>
      </w:tr>
      <w:tr w14:paraId="2EA69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5EA7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在途物资</w:t>
            </w:r>
          </w:p>
        </w:tc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2F3F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5个车次</w:t>
            </w:r>
          </w:p>
        </w:tc>
        <w:tc>
          <w:tcPr>
            <w:tcW w:w="1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2FDF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336米</w:t>
            </w:r>
          </w:p>
        </w:tc>
        <w:tc>
          <w:tcPr>
            <w:tcW w:w="22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D9BA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1个标段、2种规格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87FA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动态状态</w:t>
            </w:r>
          </w:p>
        </w:tc>
      </w:tr>
      <w:tr w14:paraId="6A2F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0C9C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管件发货</w:t>
            </w:r>
          </w:p>
        </w:tc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7284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2条记录</w:t>
            </w:r>
          </w:p>
        </w:tc>
        <w:tc>
          <w:tcPr>
            <w:tcW w:w="1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66F9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4件</w:t>
            </w:r>
          </w:p>
        </w:tc>
        <w:tc>
          <w:tcPr>
            <w:tcW w:w="22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5352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管件业务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E479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8月5日21:02</w:t>
            </w:r>
          </w:p>
        </w:tc>
      </w:tr>
    </w:tbl>
    <w:p w14:paraId="530C4FFF">
      <w:pPr>
        <w:spacing w:before="80" w:after="80"/>
      </w:pPr>
      <w:r>
        <w:rPr>
          <w:rFonts w:ascii="Calibri" w:hAnsi="Calibri" w:eastAsia="微软雅黑"/>
          <w:b w:val="0"/>
          <w:i/>
          <w:color w:val="667085"/>
          <w:sz w:val="17"/>
        </w:rPr>
        <w:t>计划记录包含零值单元格；零值用于保留未开工或无计划规格的明确填报状态，因此应与非零计划分开解读。</w:t>
      </w:r>
    </w:p>
    <w:p w14:paraId="2B39DEDC">
      <w:pPr>
        <w:pStyle w:val="3"/>
      </w:pPr>
      <w:r>
        <w:t>五、计划与消耗填报及时性</w:t>
      </w:r>
    </w:p>
    <w:p w14:paraId="41246930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填报及时性需要区分“历史已覆盖”和“当前滚动窗口是否完整”。高温水标段1在8月5日至9日期间的计划通常提前1至2天首次录入，历史段表现较好；但当前8月9日至11日窗口中，仅8月9日有40米计划，8月10日和11日尚无记录。高温水标段2为未开工状态，其零计划不作为逾期判断。</w:t>
      </w:r>
    </w:p>
    <w:p w14:paraId="2768BDD4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表6  近期计划录入情况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100"/>
        <w:gridCol w:w="1300"/>
        <w:gridCol w:w="2400"/>
        <w:gridCol w:w="2260"/>
      </w:tblGrid>
      <w:tr w14:paraId="22BA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90F0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计划日期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5B29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标段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BA26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计划量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8D34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首次录入相对日期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488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及时性判断</w:t>
            </w:r>
          </w:p>
        </w:tc>
      </w:tr>
      <w:tr w14:paraId="06FB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C647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8月4日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68C1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高温水标段1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54EF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40米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00C8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当日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9A2E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已录入</w:t>
            </w:r>
          </w:p>
        </w:tc>
      </w:tr>
      <w:tr w14:paraId="0189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B473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8月5日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62BF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高温水标段1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FA25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40米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6380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提前1天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A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02E5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E6A3A"/>
                <w:sz w:val="18"/>
              </w:rPr>
              <w:t>及时</w:t>
            </w:r>
          </w:p>
        </w:tc>
      </w:tr>
      <w:tr w14:paraId="5EB9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E470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8月6日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BE58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高温水标段1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4D9C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40米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9E79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提前2天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A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65F2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E6A3A"/>
                <w:sz w:val="18"/>
              </w:rPr>
              <w:t>及时</w:t>
            </w:r>
          </w:p>
        </w:tc>
      </w:tr>
      <w:tr w14:paraId="7AF4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1D45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8月7日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9E6D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高温水标段1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AF1C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40米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9762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提前2天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A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3A8D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E6A3A"/>
                <w:sz w:val="18"/>
              </w:rPr>
              <w:t>及时</w:t>
            </w:r>
          </w:p>
        </w:tc>
      </w:tr>
      <w:tr w14:paraId="2055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5A5B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8月8日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1015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高温水标段1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22FA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30米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9924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提前2天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A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AE59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E6A3A"/>
                <w:sz w:val="18"/>
              </w:rPr>
              <w:t>及时</w:t>
            </w:r>
          </w:p>
        </w:tc>
      </w:tr>
      <w:tr w14:paraId="5668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1F8B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8月9日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D045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高温水标段1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EB7A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40米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A034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提前2天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A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0B3B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E6A3A"/>
                <w:sz w:val="18"/>
              </w:rPr>
              <w:t>及时</w:t>
            </w:r>
          </w:p>
        </w:tc>
      </w:tr>
      <w:tr w14:paraId="61EE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B0FC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8月10日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9D45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高温水标段1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AB78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无记录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21BA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尚未录入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21C6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8"/>
              </w:rPr>
              <w:t>需补齐</w:t>
            </w:r>
          </w:p>
        </w:tc>
      </w:tr>
      <w:tr w14:paraId="10BC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194D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8月11日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BD78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高温水标段1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C916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无记录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B684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尚未录入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4E6C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8"/>
              </w:rPr>
              <w:t>需补齐</w:t>
            </w:r>
          </w:p>
        </w:tc>
      </w:tr>
    </w:tbl>
    <w:p w14:paraId="21CF2E6C">
      <w:pPr>
        <w:spacing w:before="80" w:after="80"/>
      </w:pPr>
      <w:r>
        <w:rPr>
          <w:rFonts w:ascii="Calibri" w:hAnsi="Calibri" w:eastAsia="微软雅黑"/>
          <w:b w:val="0"/>
          <w:i/>
          <w:color w:val="667085"/>
          <w:sz w:val="17"/>
        </w:rPr>
        <w:t>负数提前天数表示在计划日期之前完成首次录入；本表将其转换为“提前1天/提前2天”表述。</w:t>
      </w:r>
    </w:p>
    <w:p w14:paraId="7F68D045">
      <w:pPr>
        <w:pStyle w:val="4"/>
      </w:pPr>
      <w:r>
        <w:t>实际使用与损耗填报</w:t>
      </w:r>
    </w:p>
    <w:p w14:paraId="2A57F8BB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数据库目前仅保留2条非零使用记录、覆盖2个业务日期，累计使用228米、损耗0米；使用数据最后更新时间为8月4日14:38。审计日志中也仅发现2次使用与损耗提交动作，且均发生在8月4日。由此不能证明8月5日至8日已逐日核实。</w:t>
      </w:r>
    </w:p>
    <w:p w14:paraId="502976C1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表7  消耗填报完整性判断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450"/>
        <w:gridCol w:w="2450"/>
        <w:gridCol w:w="2360"/>
      </w:tblGrid>
      <w:tr w14:paraId="1149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BC98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检查项目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3C00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现状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8F53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判断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EC3A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建议</w:t>
            </w:r>
          </w:p>
        </w:tc>
      </w:tr>
      <w:tr w14:paraId="6FE1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C89E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非零使用记录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4842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2条、累计228米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9BF1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已形成基础台账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6E69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继续按日录入</w:t>
            </w:r>
          </w:p>
        </w:tc>
      </w:tr>
      <w:tr w14:paraId="0BF7A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9AE8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损耗记录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F5B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累计0米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F4E0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可能确为无损耗，也可能未单独填报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5376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由现场负责人每日确认</w:t>
            </w:r>
          </w:p>
        </w:tc>
      </w:tr>
      <w:tr w14:paraId="3EC0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889F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最后更新时间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9D2D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8月4日14:38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8BAD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与报告截止日相隔约5天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E7BC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核实8月5日至8日</w:t>
            </w:r>
          </w:p>
        </w:tc>
      </w:tr>
      <w:tr w14:paraId="6AEC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146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零用量日期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D8D3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未形成连续零值记录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C507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无法区分“无施工”与“未填报”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60B8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无使用也应提交零记录</w:t>
            </w:r>
          </w:p>
        </w:tc>
      </w:tr>
      <w:tr w14:paraId="4788B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210F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正式提交状态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2FAA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4次，其中同一未开工标段同日重复3次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DD4B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提交纪律尚未稳定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08F3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建立每日一次提交规则</w:t>
            </w:r>
          </w:p>
        </w:tc>
      </w:tr>
    </w:tbl>
    <w:p w14:paraId="57EC15FB">
      <w:pPr>
        <w:pBdr>
          <w:left w:val="single" w:color="7A5A00" w:sz="18" w:space="0"/>
        </w:pBdr>
        <w:shd w:val="clear" w:fill="FFF4D6"/>
        <w:spacing w:before="80" w:after="160" w:line="264" w:lineRule="auto"/>
        <w:ind w:left="173" w:right="115"/>
      </w:pPr>
      <w:r>
        <w:rPr>
          <w:rFonts w:ascii="Calibri" w:hAnsi="Calibri" w:eastAsia="微软雅黑"/>
          <w:b/>
          <w:i w:val="0"/>
          <w:color w:val="7A5A00"/>
          <w:sz w:val="22"/>
        </w:rPr>
        <w:t xml:space="preserve">口径提示  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看板PCR当前可能显示100%，其口径是“施工中的标段在三日窗口内存在任意一笔正数计划”，并不等同于三天均完整、按时填报。向领导或上级单位展示时，应将PCR解释为活跃工区计划覆盖率，而不是零漏报率。</w:t>
      </w:r>
    </w:p>
    <w:p w14:paraId="543AB150">
      <w:pPr>
        <w:pStyle w:val="3"/>
      </w:pPr>
      <w:r>
        <w:t>六、供货、履约与库存情况</w:t>
      </w:r>
    </w:p>
    <w:p w14:paraId="180B0B79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平台已经形成发货、到货、施工接收和仓库确认的物流闭环。16个发货车次共840米，其中11车、504米已完成，5车、336米仍在途中；按车次计算闭环率为68.8%，按发货长度计算到货率为60.0%。</w:t>
      </w:r>
    </w:p>
    <w:p w14:paraId="68475719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表8  发货及在途状态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950"/>
        <w:gridCol w:w="1500"/>
        <w:gridCol w:w="1500"/>
        <w:gridCol w:w="1500"/>
        <w:gridCol w:w="2010"/>
      </w:tblGrid>
      <w:tr w14:paraId="19A5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2EA4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物流状态</w:t>
            </w:r>
          </w:p>
        </w:tc>
        <w:tc>
          <w:tcPr>
            <w:tcW w:w="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5C75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车次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36F3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发货量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0F4E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到货量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F7FA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接收量</w:t>
            </w:r>
          </w:p>
        </w:tc>
        <w:tc>
          <w:tcPr>
            <w:tcW w:w="2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E48E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状态判断</w:t>
            </w:r>
          </w:p>
        </w:tc>
      </w:tr>
      <w:tr w14:paraId="596A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0596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已完成</w:t>
            </w:r>
          </w:p>
        </w:tc>
        <w:tc>
          <w:tcPr>
            <w:tcW w:w="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D85E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437C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504米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62AB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504米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6157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504米</w:t>
            </w:r>
          </w:p>
        </w:tc>
        <w:tc>
          <w:tcPr>
            <w:tcW w:w="2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A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1380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E6A3A"/>
                <w:sz w:val="18"/>
              </w:rPr>
              <w:t>完成闭环</w:t>
            </w:r>
          </w:p>
        </w:tc>
      </w:tr>
      <w:tr w14:paraId="3167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CB25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待到货</w:t>
            </w:r>
          </w:p>
        </w:tc>
        <w:tc>
          <w:tcPr>
            <w:tcW w:w="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C037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EDC9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336米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B64A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0米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7ED1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0米</w:t>
            </w:r>
          </w:p>
        </w:tc>
        <w:tc>
          <w:tcPr>
            <w:tcW w:w="2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F01E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持续跟踪</w:t>
            </w:r>
          </w:p>
        </w:tc>
      </w:tr>
      <w:tr w14:paraId="2993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3F25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合计</w:t>
            </w:r>
          </w:p>
        </w:tc>
        <w:tc>
          <w:tcPr>
            <w:tcW w:w="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43A1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16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4879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840米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6519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504米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7A70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504米</w:t>
            </w:r>
          </w:p>
        </w:tc>
        <w:tc>
          <w:tcPr>
            <w:tcW w:w="2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AB90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到货率60.0%</w:t>
            </w:r>
          </w:p>
        </w:tc>
      </w:tr>
    </w:tbl>
    <w:p w14:paraId="364F9D63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表9  24小时到货履约情况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600"/>
        <w:gridCol w:w="3150"/>
        <w:gridCol w:w="2260"/>
      </w:tblGrid>
      <w:tr w14:paraId="1DBB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1F14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w="1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E9B1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当前值</w:t>
            </w:r>
          </w:p>
        </w:tc>
        <w:tc>
          <w:tcPr>
            <w:tcW w:w="3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4632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计算口径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A482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管理判断</w:t>
            </w:r>
          </w:p>
        </w:tc>
      </w:tr>
      <w:tr w14:paraId="0A62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D9F7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完成到货样本</w:t>
            </w:r>
          </w:p>
        </w:tc>
        <w:tc>
          <w:tcPr>
            <w:tcW w:w="1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7F43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11车</w:t>
            </w:r>
          </w:p>
        </w:tc>
        <w:tc>
          <w:tcPr>
            <w:tcW w:w="3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C6A3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已存在发货时间和到货确认时间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D6EA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样本已具备基础代表性</w:t>
            </w:r>
          </w:p>
        </w:tc>
      </w:tr>
      <w:tr w14:paraId="251B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4752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24小时内到货</w:t>
            </w:r>
          </w:p>
        </w:tc>
        <w:tc>
          <w:tcPr>
            <w:tcW w:w="1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38F5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10车</w:t>
            </w:r>
          </w:p>
        </w:tc>
        <w:tc>
          <w:tcPr>
            <w:tcW w:w="3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9A9E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到货确认时间－发货时间≤24小时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B06F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总体较好</w:t>
            </w:r>
          </w:p>
        </w:tc>
      </w:tr>
      <w:tr w14:paraId="4655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2ED8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OTD</w:t>
            </w:r>
          </w:p>
        </w:tc>
        <w:tc>
          <w:tcPr>
            <w:tcW w:w="1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0627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90.9%</w:t>
            </w:r>
          </w:p>
        </w:tc>
        <w:tc>
          <w:tcPr>
            <w:tcW w:w="3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3B3E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10÷11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A198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刚达到90%基准，余量较小</w:t>
            </w:r>
          </w:p>
        </w:tc>
      </w:tr>
      <w:tr w14:paraId="24C6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5A60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平均到货确认耗时</w:t>
            </w:r>
          </w:p>
        </w:tc>
        <w:tc>
          <w:tcPr>
            <w:tcW w:w="1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320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22.7小时</w:t>
            </w:r>
          </w:p>
        </w:tc>
        <w:tc>
          <w:tcPr>
            <w:tcW w:w="3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EAE6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11车平均值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5EF9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接近24小时边界</w:t>
            </w:r>
          </w:p>
        </w:tc>
      </w:tr>
      <w:tr w14:paraId="33AA5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83BF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最长到货确认耗时</w:t>
            </w:r>
          </w:p>
        </w:tc>
        <w:tc>
          <w:tcPr>
            <w:tcW w:w="1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4DC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49.2小时</w:t>
            </w:r>
          </w:p>
        </w:tc>
        <w:tc>
          <w:tcPr>
            <w:tcW w:w="3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C453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完成样本最大值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D8B0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存在明显超时样本</w:t>
            </w:r>
          </w:p>
        </w:tc>
      </w:tr>
      <w:tr w14:paraId="57BF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CAE7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已超过24小时的在途车次</w:t>
            </w:r>
          </w:p>
        </w:tc>
        <w:tc>
          <w:tcPr>
            <w:tcW w:w="1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CD2B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2车、120米</w:t>
            </w:r>
          </w:p>
        </w:tc>
        <w:tc>
          <w:tcPr>
            <w:tcW w:w="3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D82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截至报告时点仍未确认到货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A570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后续确认可能拉低OTD</w:t>
            </w:r>
          </w:p>
        </w:tc>
      </w:tr>
      <w:tr w14:paraId="0DC0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6415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超时自动接收</w:t>
            </w:r>
          </w:p>
        </w:tc>
        <w:tc>
          <w:tcPr>
            <w:tcW w:w="1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D47E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7/11车</w:t>
            </w:r>
          </w:p>
        </w:tc>
        <w:tc>
          <w:tcPr>
            <w:tcW w:w="3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8363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is_timeout_receive=true</w:t>
            </w:r>
          </w:p>
        </w:tc>
        <w:tc>
          <w:tcPr>
            <w:tcW w:w="2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0B2A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人工施工接收及时性不足</w:t>
            </w:r>
          </w:p>
        </w:tc>
      </w:tr>
    </w:tbl>
    <w:p w14:paraId="1DF3F728">
      <w:pPr>
        <w:spacing w:before="80" w:after="80"/>
      </w:pPr>
      <w:r>
        <w:rPr>
          <w:rFonts w:ascii="Calibri" w:hAnsi="Calibri" w:eastAsia="微软雅黑"/>
          <w:b w:val="0"/>
          <w:i/>
          <w:color w:val="667085"/>
          <w:sz w:val="17"/>
        </w:rPr>
        <w:t>OTD仅统计已确认到货样本；2个已经超过24小时的在途车次尚未进入OTD分母。</w:t>
      </w:r>
    </w:p>
    <w:p w14:paraId="1BD65A72">
      <w:pPr>
        <w:pStyle w:val="4"/>
      </w:pPr>
      <w:r>
        <w:t>现场账面库存</w:t>
      </w:r>
    </w:p>
    <w:p w14:paraId="33641B72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账面库存按“累计到货－累计使用－累计损耗”计算。目前累计到货504米、累计使用228米、累计损耗0米，账面库存276米；现有库存全部集中在Φ1120×13/Φ1260×16规格。</w:t>
      </w:r>
    </w:p>
    <w:p w14:paraId="614896D2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表10  各规格供货与库存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750"/>
        <w:gridCol w:w="1200"/>
        <w:gridCol w:w="1200"/>
        <w:gridCol w:w="1250"/>
        <w:gridCol w:w="1250"/>
        <w:gridCol w:w="1260"/>
      </w:tblGrid>
      <w:tr w14:paraId="38EF3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4322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保温管规格</w:t>
            </w:r>
          </w:p>
        </w:tc>
        <w:tc>
          <w:tcPr>
            <w:tcW w:w="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4CB9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车次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5FC7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发货量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430D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到货量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D681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使用/损耗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047B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账面库存</w:t>
            </w:r>
          </w:p>
        </w:tc>
        <w:tc>
          <w:tcPr>
            <w:tcW w:w="1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B629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在途量</w:t>
            </w:r>
          </w:p>
        </w:tc>
      </w:tr>
      <w:tr w14:paraId="53D15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5969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Φ1120×13/Φ1260×16</w:t>
            </w:r>
          </w:p>
        </w:tc>
        <w:tc>
          <w:tcPr>
            <w:tcW w:w="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3B39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D39D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504米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BDDA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504米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9102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228米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DB78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276米</w:t>
            </w:r>
          </w:p>
        </w:tc>
        <w:tc>
          <w:tcPr>
            <w:tcW w:w="1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1D9E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0米</w:t>
            </w:r>
          </w:p>
        </w:tc>
      </w:tr>
      <w:tr w14:paraId="7EA3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5F4A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Φ820×11/Φ955×13</w:t>
            </w:r>
          </w:p>
        </w:tc>
        <w:tc>
          <w:tcPr>
            <w:tcW w:w="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3AA3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AD24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120米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8A94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0米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5ADD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0米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C920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0米</w:t>
            </w:r>
          </w:p>
        </w:tc>
        <w:tc>
          <w:tcPr>
            <w:tcW w:w="1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7894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120米</w:t>
            </w:r>
          </w:p>
        </w:tc>
      </w:tr>
      <w:tr w14:paraId="7B78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3434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Φ920×11/Φ1054×14</w:t>
            </w:r>
          </w:p>
        </w:tc>
        <w:tc>
          <w:tcPr>
            <w:tcW w:w="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EF05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E2A8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216米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30FB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0米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45BB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0米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53E8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0米</w:t>
            </w:r>
          </w:p>
        </w:tc>
        <w:tc>
          <w:tcPr>
            <w:tcW w:w="1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43D2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216米</w:t>
            </w:r>
          </w:p>
        </w:tc>
      </w:tr>
      <w:tr w14:paraId="3CB1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BBC3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合计</w:t>
            </w:r>
          </w:p>
        </w:tc>
        <w:tc>
          <w:tcPr>
            <w:tcW w:w="7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93D9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16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38E9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840米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C32A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504米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62DF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228米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5AE0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276米</w:t>
            </w:r>
          </w:p>
        </w:tc>
        <w:tc>
          <w:tcPr>
            <w:tcW w:w="1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E7CA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336米</w:t>
            </w:r>
          </w:p>
        </w:tc>
      </w:tr>
    </w:tbl>
    <w:p w14:paraId="1FB7F721">
      <w:pPr>
        <w:pStyle w:val="4"/>
      </w:pPr>
      <w:r>
        <w:t>驾驶舱指标解读</w:t>
      </w:r>
    </w:p>
    <w:p w14:paraId="31161BD6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表11  当前关键指标及展示口径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500"/>
        <w:gridCol w:w="2650"/>
        <w:gridCol w:w="4010"/>
      </w:tblGrid>
      <w:tr w14:paraId="64C8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40CA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173D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当前推算值</w:t>
            </w:r>
          </w:p>
        </w:tc>
        <w:tc>
          <w:tcPr>
            <w:tcW w:w="2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C935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含义</w:t>
            </w:r>
          </w:p>
        </w:tc>
        <w:tc>
          <w:tcPr>
            <w:tcW w:w="4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3D43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展示注意事项</w:t>
            </w:r>
          </w:p>
        </w:tc>
      </w:tr>
      <w:tr w14:paraId="736F2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B9C9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OTD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F2A2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90.9%</w:t>
            </w:r>
          </w:p>
        </w:tc>
        <w:tc>
          <w:tcPr>
            <w:tcW w:w="2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4873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24小时到货达成率</w:t>
            </w:r>
          </w:p>
        </w:tc>
        <w:tc>
          <w:tcPr>
            <w:tcW w:w="4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585B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2个超24小时在途车次确认后可能下降</w:t>
            </w:r>
          </w:p>
        </w:tc>
      </w:tr>
      <w:tr w14:paraId="7CEFA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0E19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DOI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AB50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约20.7天</w:t>
            </w:r>
          </w:p>
        </w:tc>
        <w:tc>
          <w:tcPr>
            <w:tcW w:w="2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6540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库存可支撑天数</w:t>
            </w:r>
          </w:p>
        </w:tc>
        <w:tc>
          <w:tcPr>
            <w:tcW w:w="4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947F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未来三日仅录入40米，缺失日期可能使DOI偏高</w:t>
            </w:r>
          </w:p>
        </w:tc>
      </w:tr>
      <w:tr w14:paraId="42BB5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8137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PCR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C61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100%</w:t>
            </w:r>
          </w:p>
        </w:tc>
        <w:tc>
          <w:tcPr>
            <w:tcW w:w="2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53F3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活跃工区计划覆盖率</w:t>
            </w:r>
          </w:p>
        </w:tc>
        <w:tc>
          <w:tcPr>
            <w:tcW w:w="4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02C5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仅表示活跃工区存在计划，不代表三天完整</w:t>
            </w:r>
          </w:p>
        </w:tc>
      </w:tr>
      <w:tr w14:paraId="0640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B50E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UCR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8AD0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约45.2%</w:t>
            </w:r>
          </w:p>
        </w:tc>
        <w:tc>
          <w:tcPr>
            <w:tcW w:w="2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3981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累计使用量/累计到货量</w:t>
            </w:r>
          </w:p>
        </w:tc>
        <w:tc>
          <w:tcPr>
            <w:tcW w:w="4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9EF9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反映到货后的使用进度</w:t>
            </w:r>
          </w:p>
        </w:tc>
      </w:tr>
      <w:tr w14:paraId="283D2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646C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SSR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3B8F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100%</w:t>
            </w:r>
          </w:p>
        </w:tc>
        <w:tc>
          <w:tcPr>
            <w:tcW w:w="2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6B43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活跃工区无硬缺口比例</w:t>
            </w:r>
          </w:p>
        </w:tc>
        <w:tc>
          <w:tcPr>
            <w:tcW w:w="4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D668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当前仅1个在建工区，样本范围较小</w:t>
            </w:r>
          </w:p>
        </w:tc>
      </w:tr>
    </w:tbl>
    <w:p w14:paraId="512D2C85">
      <w:pPr>
        <w:pStyle w:val="3"/>
      </w:pPr>
      <w:r>
        <w:t>七、平台带来的管理改善</w:t>
      </w:r>
    </w:p>
    <w:p w14:paraId="639AB35F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平台的价值不只体现在数据量，更体现在管理方式由分散沟通转向过程协同。建议向上级单位重点展示以下变化。</w:t>
      </w:r>
    </w:p>
    <w:p w14:paraId="55335B04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表12  管理方式改善对比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350"/>
        <w:gridCol w:w="3100"/>
        <w:gridCol w:w="2110"/>
      </w:tblGrid>
      <w:tr w14:paraId="0CBE9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4F91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管理事项</w:t>
            </w:r>
          </w:p>
        </w:tc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FC35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传统方式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3D4C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平台化方式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2FA3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形成的改善</w:t>
            </w:r>
          </w:p>
        </w:tc>
      </w:tr>
      <w:tr w14:paraId="7EF3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6CFA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施工计划</w:t>
            </w:r>
          </w:p>
        </w:tc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ABA4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电话、微信或分散表格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C988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三日计划按标段、规格、日期统一录入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22FE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需求更清晰，可计算未来缺口</w:t>
            </w:r>
          </w:p>
        </w:tc>
      </w:tr>
      <w:tr w14:paraId="06C6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281B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厂家发货</w:t>
            </w:r>
          </w:p>
        </w:tc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4482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车次信息分散传递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4F40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订单、车次、车辆、规格、数量统一留痕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AC68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供货过程可查询、可追责</w:t>
            </w:r>
          </w:p>
        </w:tc>
      </w:tr>
      <w:tr w14:paraId="3B64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768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到货接收</w:t>
            </w:r>
          </w:p>
        </w:tc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EEAF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依赖线下签认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E8A3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现场、施工单位、库管分阶段确认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8099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物流闭环状态实时可见</w:t>
            </w:r>
          </w:p>
        </w:tc>
      </w:tr>
      <w:tr w14:paraId="381B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E33F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库存核算</w:t>
            </w:r>
          </w:p>
        </w:tc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D9C2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人工汇总、容易滞后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1AB6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到货、使用、损耗自动形成账面库存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2A68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减少重复统计和口径差异</w:t>
            </w:r>
          </w:p>
        </w:tc>
      </w:tr>
      <w:tr w14:paraId="24A6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0C7A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责任追溯</w:t>
            </w:r>
          </w:p>
        </w:tc>
        <w:tc>
          <w:tcPr>
            <w:tcW w:w="2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6EC6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难以还原操作过程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5C39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操作人、时间、动作和前后数据记录审计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DECC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实现全过程可追溯</w:t>
            </w:r>
          </w:p>
        </w:tc>
      </w:tr>
    </w:tbl>
    <w:p w14:paraId="530BA2F6">
      <w:pPr>
        <w:pStyle w:val="3"/>
      </w:pPr>
      <w:r>
        <w:t>八、当前问题与风险</w:t>
      </w:r>
    </w:p>
    <w:p w14:paraId="4E01D83F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平台核心链路已经具备，但当前数据仍处于上线初期积累阶段。以下问题建议在对外展示前优先核实，并在后续运行制度中持续改进。</w:t>
      </w:r>
    </w:p>
    <w:p w14:paraId="73951730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表13  风险登记与处置建议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3050"/>
        <w:gridCol w:w="2400"/>
        <w:gridCol w:w="1150"/>
        <w:gridCol w:w="2110"/>
      </w:tblGrid>
      <w:tr w14:paraId="71439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3DCB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3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6E26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问题及证据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3009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</w:t>
            </w:r>
          </w:p>
        </w:tc>
        <w:tc>
          <w:tcPr>
            <w:tcW w:w="1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54D7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风险级别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AF96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建议措施</w:t>
            </w:r>
          </w:p>
        </w:tc>
      </w:tr>
      <w:tr w14:paraId="0F29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79C1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R1</w:t>
            </w:r>
          </w:p>
        </w:tc>
        <w:tc>
          <w:tcPr>
            <w:tcW w:w="3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C4CA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在建标段当前三日窗口缺少8月10日、11日计划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27AB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DOI和PCR可能显得正常，但计划并不完整</w:t>
            </w:r>
          </w:p>
        </w:tc>
        <w:tc>
          <w:tcPr>
            <w:tcW w:w="1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F8DF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9B1C1C"/>
                <w:sz w:val="16"/>
              </w:rPr>
              <w:t>高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6E7F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立即补齐计划并明确每日截止时间</w:t>
            </w:r>
          </w:p>
        </w:tc>
      </w:tr>
      <w:tr w14:paraId="05E6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7F94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R2</w:t>
            </w:r>
          </w:p>
        </w:tc>
        <w:tc>
          <w:tcPr>
            <w:tcW w:w="3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5F32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使用数据最后更新于8月4日，后续日期无连续记录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29BC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无法区分无施工与未填报，库存可信度下降</w:t>
            </w:r>
          </w:p>
        </w:tc>
        <w:tc>
          <w:tcPr>
            <w:tcW w:w="1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9F8B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9B1C1C"/>
                <w:sz w:val="16"/>
              </w:rPr>
              <w:t>高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CA25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核实8月5日至8日；零使用也提交</w:t>
            </w:r>
          </w:p>
        </w:tc>
      </w:tr>
      <w:tr w14:paraId="2756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8990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R3</w:t>
            </w:r>
          </w:p>
        </w:tc>
        <w:tc>
          <w:tcPr>
            <w:tcW w:w="3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A923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5个在途车次中2个已超过24小时，共120米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1626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后续确认可能使OTD从90.9%下滑</w:t>
            </w:r>
          </w:p>
        </w:tc>
        <w:tc>
          <w:tcPr>
            <w:tcW w:w="1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1E60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9B1C1C"/>
                <w:sz w:val="16"/>
              </w:rPr>
              <w:t>高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5612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展示前确认实际状态并补充原因</w:t>
            </w:r>
          </w:p>
        </w:tc>
      </w:tr>
      <w:tr w14:paraId="17BE3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07E1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R4</w:t>
            </w:r>
          </w:p>
        </w:tc>
        <w:tc>
          <w:tcPr>
            <w:tcW w:w="3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E881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11个闭环车次中7个为超时自动接收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F4A9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不能表述为全部人工及时闭环</w:t>
            </w:r>
          </w:p>
        </w:tc>
        <w:tc>
          <w:tcPr>
            <w:tcW w:w="1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268E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6"/>
              </w:rPr>
              <w:t>中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551B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分析责任环节，设置人工确认提醒</w:t>
            </w:r>
          </w:p>
        </w:tc>
      </w:tr>
      <w:tr w14:paraId="17BE3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07E1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R5</w:t>
            </w:r>
          </w:p>
        </w:tc>
        <w:tc>
          <w:tcPr>
            <w:tcW w:w="3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E881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155条审计记录中100条为配置调整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F4A9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直接用审计总数宣传可能夸大一线使用量</w:t>
            </w:r>
          </w:p>
        </w:tc>
        <w:tc>
          <w:tcPr>
            <w:tcW w:w="1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268E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6"/>
              </w:rPr>
              <w:t>中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551B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汇报时区分核心业务动作55条</w:t>
            </w:r>
          </w:p>
        </w:tc>
      </w:tr>
      <w:tr w14:paraId="0D4B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0E57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R6</w:t>
            </w:r>
          </w:p>
        </w:tc>
        <w:tc>
          <w:tcPr>
            <w:tcW w:w="3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6657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当前业务集中于1个标段、1个供货主体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3EA2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不能宣称所有标段和厂家均已全面使用</w:t>
            </w:r>
          </w:p>
        </w:tc>
        <w:tc>
          <w:tcPr>
            <w:tcW w:w="1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A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CC59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E6A3A"/>
                <w:sz w:val="16"/>
              </w:rPr>
              <w:t>低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6B1B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说明4个标段尚未开工，后续随开工推广</w:t>
            </w:r>
          </w:p>
        </w:tc>
      </w:tr>
      <w:tr w14:paraId="4CDF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9C37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R7</w:t>
            </w:r>
          </w:p>
        </w:tc>
        <w:tc>
          <w:tcPr>
            <w:tcW w:w="3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1036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缺少连续10天可用率和完整错误率监控数据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B1EF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无法证明零故障或100%稳定运行</w:t>
            </w:r>
          </w:p>
        </w:tc>
        <w:tc>
          <w:tcPr>
            <w:tcW w:w="1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EED1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6"/>
              </w:rPr>
              <w:t>中</w:t>
            </w:r>
          </w:p>
        </w:tc>
        <w:tc>
          <w:tcPr>
            <w:tcW w:w="21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1152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6"/>
              </w:rPr>
              <w:t>建立每日运行台账和轻量可用性统计</w:t>
            </w:r>
          </w:p>
        </w:tc>
      </w:tr>
    </w:tbl>
    <w:p w14:paraId="08A3FCB3">
      <w:pPr>
        <w:pStyle w:val="3"/>
      </w:pPr>
      <w:r>
        <w:t>九、下一阶段工作建议</w:t>
      </w:r>
    </w:p>
    <w:p w14:paraId="419C571E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表14  分阶段改进计划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1900"/>
        <w:gridCol w:w="2060"/>
      </w:tblGrid>
      <w:tr w14:paraId="66B0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6AD5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时间安排</w:t>
            </w:r>
          </w:p>
        </w:tc>
        <w:tc>
          <w:tcPr>
            <w:tcW w:w="3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3824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重点任务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5381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建议责任角色</w:t>
            </w:r>
          </w:p>
        </w:tc>
        <w:tc>
          <w:tcPr>
            <w:tcW w:w="20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15DF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验收标准</w:t>
            </w:r>
          </w:p>
        </w:tc>
      </w:tr>
      <w:tr w14:paraId="0ED9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97E4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展示前完成</w:t>
            </w:r>
          </w:p>
        </w:tc>
        <w:tc>
          <w:tcPr>
            <w:tcW w:w="3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0135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补齐8月10日至11日计划；核实8月5日至8日消耗；处理2个超时在途车次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4150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现场负责人、施工单位、供应商</w:t>
            </w:r>
          </w:p>
        </w:tc>
        <w:tc>
          <w:tcPr>
            <w:tcW w:w="20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06DB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驾驶舱数据完整，重点异常均有解释</w:t>
            </w:r>
          </w:p>
        </w:tc>
      </w:tr>
      <w:tr w14:paraId="1A31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13E6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1周内</w:t>
            </w:r>
          </w:p>
        </w:tc>
        <w:tc>
          <w:tcPr>
            <w:tcW w:w="3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C0FB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明确计划、消耗、到货、接收的每日截止时间；建立零用量提交规则和超时提醒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D48E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项目管理人员</w:t>
            </w:r>
          </w:p>
        </w:tc>
        <w:tc>
          <w:tcPr>
            <w:tcW w:w="20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F4B1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每日记录连续，不再出现空白日期</w:t>
            </w:r>
          </w:p>
        </w:tc>
      </w:tr>
      <w:tr w14:paraId="31554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33FC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2周内</w:t>
            </w:r>
          </w:p>
        </w:tc>
        <w:tc>
          <w:tcPr>
            <w:tcW w:w="3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C11E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按角色统计及时率；将正式提交状态与计划、消耗完整性联动检查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7243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平台管理员、业务主管</w:t>
            </w:r>
          </w:p>
        </w:tc>
        <w:tc>
          <w:tcPr>
            <w:tcW w:w="20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2C0C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可按人员和标段形成及时率清单</w:t>
            </w:r>
          </w:p>
        </w:tc>
      </w:tr>
      <w:tr w14:paraId="1D62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0CE9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1个月内</w:t>
            </w:r>
          </w:p>
        </w:tc>
        <w:tc>
          <w:tcPr>
            <w:tcW w:w="3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22B4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随着其他标段开工完成账号培训、权限核对和业务演练；建立运行月报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2C62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各标段、厂家、库管</w:t>
            </w:r>
          </w:p>
        </w:tc>
        <w:tc>
          <w:tcPr>
            <w:tcW w:w="20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63B5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5个标段按施工状态有序上线使用</w:t>
            </w:r>
          </w:p>
        </w:tc>
      </w:tr>
    </w:tbl>
    <w:p w14:paraId="1089068F">
      <w:pPr>
        <w:pStyle w:val="3"/>
      </w:pPr>
      <w:r>
        <w:t>十、对上级单位的展示建议</w:t>
      </w:r>
    </w:p>
    <w:p w14:paraId="2619F766">
      <w:pPr>
        <w:spacing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建议采用“先看全貌、再看闭环、最后看追溯”的展示顺序：</w:t>
      </w:r>
    </w:p>
    <w:p w14:paraId="6BC829A5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表15  建议展示路线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900"/>
        <w:gridCol w:w="4200"/>
        <w:gridCol w:w="2360"/>
      </w:tblGrid>
      <w:tr w14:paraId="460D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12B5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顺序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B6B8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展示内容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D43F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建议讲法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0D07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预计重点</w:t>
            </w:r>
          </w:p>
        </w:tc>
      </w:tr>
      <w:tr w14:paraId="4BA9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10E6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2BA2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综合驾驶舱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E33E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展示发货、到货、在途、使用、库存和风险指标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D27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管理全局一屏掌握</w:t>
            </w:r>
          </w:p>
        </w:tc>
      </w:tr>
      <w:tr w14:paraId="4648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8E93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5BAD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单个发货车次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708A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演示厂家发货、现场到货、施工接收、仓库确认全过程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798F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多方协同闭环</w:t>
            </w:r>
          </w:p>
        </w:tc>
      </w:tr>
      <w:tr w14:paraId="41CE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F906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B764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历史查询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7517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按标段、日期、规格追溯计划和实际使用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D494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数据可查询、可复盘</w:t>
            </w:r>
          </w:p>
        </w:tc>
      </w:tr>
      <w:tr w14:paraId="1B3A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792D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76BB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审计记录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40E5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展示操作人、操作时间和动作留痕</w:t>
            </w:r>
          </w:p>
        </w:tc>
        <w:tc>
          <w:tcPr>
            <w:tcW w:w="23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6D59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责任明确、过程可追溯</w:t>
            </w:r>
          </w:p>
        </w:tc>
      </w:tr>
    </w:tbl>
    <w:p w14:paraId="322B38DA">
      <w:pPr>
        <w:pBdr>
          <w:left w:val="single" w:color="1E6A3A" w:sz="18" w:space="0"/>
        </w:pBdr>
        <w:shd w:val="clear" w:fill="EAF5EE"/>
        <w:spacing w:before="80" w:after="160" w:line="264" w:lineRule="auto"/>
        <w:ind w:left="173" w:right="115"/>
      </w:pPr>
      <w:r>
        <w:rPr>
          <w:rFonts w:ascii="Calibri" w:hAnsi="Calibri" w:eastAsia="微软雅黑"/>
          <w:b/>
          <w:i w:val="0"/>
          <w:color w:val="1E6A3A"/>
          <w:sz w:val="22"/>
        </w:rPr>
        <w:t xml:space="preserve">推荐总结语  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平台初步实现了“一套账、一条链”：用供需台账掌握计划、到货、使用和库存，用全过程链路追踪厂家发货、现场接收和仓库确认。下一阶段将重点提升每日填报及时率和数据完整性。</w:t>
      </w:r>
    </w:p>
    <w:p w14:paraId="2FBF5A24">
      <w:pPr>
        <w:pStyle w:val="3"/>
        <w:pageBreakBefore w:val="true"/>
      </w:pPr>
      <w:r>
        <w:t>附录：主要指标口径与数据限制</w:t>
      </w:r>
    </w:p>
    <w:p w14:paraId="029DAE2B">
      <w:pPr>
        <w:keepNext/>
        <w:spacing w:before="80" w:after="80"/>
      </w:pPr>
      <w:r>
        <w:rPr>
          <w:rFonts w:ascii="Calibri" w:hAnsi="Calibri" w:eastAsia="微软雅黑"/>
          <w:b/>
          <w:i w:val="0"/>
          <w:color w:val="1F4D78"/>
          <w:sz w:val="19"/>
        </w:rPr>
        <w:t>表16  指标定义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350"/>
        <w:gridCol w:w="1400"/>
        <w:gridCol w:w="3410"/>
      </w:tblGrid>
      <w:tr w14:paraId="08706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DCA2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w="3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AC81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计算口径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6E39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本期值</w:t>
            </w:r>
          </w:p>
        </w:tc>
        <w:tc>
          <w:tcPr>
            <w:tcW w:w="3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658B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限制说明</w:t>
            </w:r>
          </w:p>
        </w:tc>
      </w:tr>
      <w:tr w14:paraId="67A0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4D53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OTD</w:t>
            </w:r>
          </w:p>
        </w:tc>
        <w:tc>
          <w:tcPr>
            <w:tcW w:w="3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9D3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24小时内到货确认车次÷已确认到货车次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AF7C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90.9%</w:t>
            </w:r>
          </w:p>
        </w:tc>
        <w:tc>
          <w:tcPr>
            <w:tcW w:w="3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B32C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不包含尚未确认到货的5个在途车次</w:t>
            </w:r>
          </w:p>
        </w:tc>
      </w:tr>
      <w:tr w14:paraId="5A3A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7673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账面库存</w:t>
            </w:r>
          </w:p>
        </w:tc>
        <w:tc>
          <w:tcPr>
            <w:tcW w:w="3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D2A4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累计到货－累计使用－累计损耗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DE84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276米</w:t>
            </w:r>
          </w:p>
        </w:tc>
        <w:tc>
          <w:tcPr>
            <w:tcW w:w="3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96CE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依赖使用与损耗按日及时填报</w:t>
            </w:r>
          </w:p>
        </w:tc>
      </w:tr>
      <w:tr w14:paraId="1AE2B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F5FB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DOI</w:t>
            </w:r>
          </w:p>
        </w:tc>
        <w:tc>
          <w:tcPr>
            <w:tcW w:w="3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C444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库存÷未来三日平均计划用量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323D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约20.7天</w:t>
            </w:r>
          </w:p>
        </w:tc>
        <w:tc>
          <w:tcPr>
            <w:tcW w:w="3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EF53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未来两天计划缺失会使结果偏高</w:t>
            </w:r>
          </w:p>
        </w:tc>
      </w:tr>
      <w:tr w14:paraId="5CA2A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96F8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PCR</w:t>
            </w:r>
          </w:p>
        </w:tc>
        <w:tc>
          <w:tcPr>
            <w:tcW w:w="3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EC5A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有正数计划的活跃工区÷全部活跃工区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44E5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100%</w:t>
            </w:r>
          </w:p>
        </w:tc>
        <w:tc>
          <w:tcPr>
            <w:tcW w:w="3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CDD6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不检查三天是否逐日完整</w:t>
            </w:r>
          </w:p>
        </w:tc>
      </w:tr>
      <w:tr w14:paraId="39D9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028E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UCR</w:t>
            </w:r>
          </w:p>
        </w:tc>
        <w:tc>
          <w:tcPr>
            <w:tcW w:w="3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9D51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累计使用量÷累计到货量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FDAB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约45.2%</w:t>
            </w:r>
          </w:p>
        </w:tc>
        <w:tc>
          <w:tcPr>
            <w:tcW w:w="3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9AB2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使用填报不连续时结果会滞后</w:t>
            </w:r>
          </w:p>
        </w:tc>
      </w:tr>
      <w:tr w14:paraId="5250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3186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SSR</w:t>
            </w:r>
          </w:p>
        </w:tc>
        <w:tc>
          <w:tcPr>
            <w:tcW w:w="33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D3D7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无硬缺口活跃工区÷全部活跃工区</w:t>
            </w:r>
          </w:p>
        </w:tc>
        <w:tc>
          <w:tcPr>
            <w:tcW w:w="1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EC00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100%</w:t>
            </w:r>
          </w:p>
        </w:tc>
        <w:tc>
          <w:tcPr>
            <w:tcW w:w="3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sz="4" w:space="0"/>
              <w:insideV w:val="single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D6BD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7"/>
              </w:rPr>
              <w:t>当前活跃样本仅1个标段</w:t>
            </w:r>
          </w:p>
        </w:tc>
      </w:tr>
    </w:tbl>
    <w:p w14:paraId="7018E588"/>
    <w:sectPr>
      <w:footerReference r:id="rId5" w:type="default"/>
      <w:pgSz w:w="11906" w:h="16838"/>
      <w:pgMar w:top="1181" w:right="1440" w:bottom="1094" w:left="1440" w:header="605" w:footer="60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B57FF">
    <w:pPr>
      <w:pStyle w:val="24"/>
      <w:spacing w:before="0" w:after="0"/>
      <w:jc w:val="center"/>
    </w:pPr>
    <w:r>
      <w:rPr>
        <w:rFonts w:ascii="Calibri" w:hAnsi="Calibri" w:eastAsia="微软雅黑"/>
        <w:b w:val="0"/>
        <w:i w:val="0"/>
        <w:color w:val="667085"/>
        <w:sz w:val="18"/>
      </w:rPr>
      <w:t xml:space="preserve">第 </w:t>
    </w:r>
    <w:r>
      <w:rPr>
        <w:rFonts w:ascii="Calibri" w:hAnsi="Calibri" w:eastAsia="微软雅黑"/>
        <w:b w:val="0"/>
        <w:i w:val="0"/>
        <w:color w:val="667085"/>
        <w:sz w:val="18"/>
      </w:rPr>
      <w:fldChar w:fldCharType="begin"/>
    </w:r>
    <w:r>
      <w:rPr>
        <w:rFonts w:ascii="Calibri" w:hAnsi="Calibri" w:eastAsia="微软雅黑"/>
        <w:b w:val="0"/>
        <w:i w:val="0"/>
        <w:color w:val="667085"/>
        <w:sz w:val="18"/>
      </w:rPr>
      <w:instrText xml:space="preserve"> PAGE </w:instrText>
    </w:r>
    <w:r>
      <w:rPr>
        <w:rFonts w:ascii="Calibri" w:hAnsi="Calibri" w:eastAsia="微软雅黑"/>
        <w:b w:val="0"/>
        <w:i w:val="0"/>
        <w:color w:val="667085"/>
        <w:sz w:val="18"/>
      </w:rPr>
      <w:fldChar w:fldCharType="end"/>
    </w:r>
    <w:r>
      <w:rPr>
        <w:rFonts w:ascii="Calibri" w:hAnsi="Calibri" w:eastAsia="微软雅黑"/>
        <w:b w:val="0"/>
        <w:i w:val="0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3D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3817</Words>
  <Characters>4312</Characters>
  <Lines>0</Lines>
  <Paragraphs>0</Paragraphs>
  <TotalTime>0</TotalTime>
  <ScaleCrop>false</ScaleCrop>
  <LinksUpToDate>false</LinksUpToDate>
  <CharactersWithSpaces>4342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Phoenix平台运行分析</dc:creator>
  <dc:description>generated by python-docx</dc:description>
  <cp:keywords>保温管,供需管理,施工形象,运行报告</cp:keywords>
  <cp:lastModifiedBy>王巍</cp:lastModifiedBy>
  <dcterms:modified xsi:type="dcterms:W3CDTF">2026-08-09T04:06:43Z</dcterms:modified>
  <dc:subject>insulation_pipe_supply_2026 上线约10天运行分析</dc:subject>
  <dc:title>2026年度保温管供需管理平台上线运行情况报告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eyJoZGlkIjoiZjFmZWIzNDg2MmIzZjExOTIzMmViNTBmYTMwYTk0ZWYiLCJ1c2VySWQiOiIzMTg1MzIwNjYifQ==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AE01150BDB8245768757547D716DC3C9_12</vt:lpwstr>
  </property>
</Properties>
</file>