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6837" w14:textId="77777777" w:rsidR="001B32B1" w:rsidRDefault="001B32B1" w:rsidP="001B32B1">
      <w:pPr>
        <w:pStyle w:val="a7"/>
        <w:widowControl/>
        <w:ind w:left="720"/>
        <w:rPr>
          <w:rFonts w:hint="eastAsia"/>
        </w:rPr>
      </w:pPr>
      <w:r>
        <w:rPr>
          <w:rFonts w:hint="eastAsia"/>
        </w:rPr>
        <w:t>当前面的模型及得出的结论可用时，我们将在针对理想大理石楼梯模型得出的测量数据和结论的基础上，对下面的问题进行分析</w:t>
      </w:r>
    </w:p>
    <w:p w14:paraId="1253E22F" w14:textId="77777777" w:rsidR="00672023" w:rsidRDefault="001B32B1" w:rsidP="00EA247E">
      <w:pPr>
        <w:pStyle w:val="a7"/>
        <w:widowControl/>
        <w:numPr>
          <w:ilvl w:val="0"/>
          <w:numId w:val="1"/>
        </w:numPr>
      </w:pPr>
      <w:r>
        <w:t>磨损模式是否与现有信息保持一致；</w:t>
      </w:r>
      <w:r w:rsidR="00EA247E">
        <w:br/>
      </w:r>
      <m:oMath>
        <m:r>
          <w:rPr>
            <w:rFonts w:ascii="Cambria Math" w:hAnsi="Cambria Math"/>
          </w:rPr>
          <m:t>ε+η</m:t>
        </m:r>
      </m:oMath>
      <w:r w:rsidR="00672023">
        <w:rPr>
          <w:rFonts w:hint="eastAsia"/>
        </w:rPr>
        <w:t>作为模型拟合的评分，当置信度大于9</w:t>
      </w:r>
      <w:r w:rsidR="00672023">
        <w:t>5%</w:t>
      </w:r>
      <w:r w:rsidR="00672023">
        <w:rPr>
          <w:rFonts w:hint="eastAsia"/>
        </w:rPr>
        <w:t>时即</w:t>
      </w:r>
      <m:oMath>
        <m:r>
          <w:rPr>
            <w:rFonts w:ascii="Cambria Math" w:hAnsi="Cambria Math"/>
          </w:rPr>
          <m:t>ε+η</m:t>
        </m:r>
      </m:oMath>
      <w:r w:rsidR="00672023">
        <w:rPr>
          <w:rFonts w:hint="eastAsia"/>
        </w:rPr>
        <w:t>&lt;</w:t>
      </w:r>
      <w:r w:rsidR="00672023">
        <w:t>1.9</w:t>
      </w:r>
      <w:r w:rsidR="00672023">
        <w:rPr>
          <w:rFonts w:hint="eastAsia"/>
        </w:rPr>
        <w:t>时可以认为模型拟合与实际信息一致性良好，且当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η</m:t>
        </m:r>
      </m:oMath>
      <w:r w:rsidR="00672023">
        <w:rPr>
          <w:rFonts w:hint="eastAsia"/>
        </w:rPr>
        <w:t xml:space="preserve"> 均&lt;</w:t>
      </w:r>
      <w:r w:rsidR="00672023">
        <w:t>0.95</w:t>
      </w:r>
      <w:r w:rsidR="00672023">
        <w:rPr>
          <w:rFonts w:hint="eastAsia"/>
        </w:rPr>
        <w:t>时，可认为一致性优秀</w:t>
      </w:r>
      <w:r>
        <w:br/>
        <w:t>B. 楼梯年代的估算及其可靠性；</w:t>
      </w:r>
    </w:p>
    <w:p w14:paraId="01318C0D" w14:textId="4A589BDE" w:rsidR="004A4334" w:rsidRDefault="004A4334" w:rsidP="00672023">
      <w:pPr>
        <w:pStyle w:val="a7"/>
        <w:widowControl/>
        <w:ind w:left="720"/>
      </w:pPr>
      <w:r>
        <w:rPr>
          <w:rFonts w:hint="eastAsia"/>
        </w:rPr>
        <w:t>（fig</w:t>
      </w:r>
      <w:r>
        <w:t xml:space="preserve"> </w:t>
      </w:r>
      <w:r>
        <w:rPr>
          <w:rFonts w:hint="eastAsia"/>
        </w:rPr>
        <w:t>x得到的）</w:t>
      </w:r>
      <w:r w:rsidR="00672023">
        <w:t>39-48</w:t>
      </w:r>
      <w:r w:rsidR="00672023">
        <w:rPr>
          <w:rFonts w:hint="eastAsia"/>
        </w:rPr>
        <w:t>区间的磨损度数据在模型中仅由环境等因素造成</w:t>
      </w:r>
      <w:r w:rsidR="00CF220D">
        <w:rPr>
          <w:rFonts w:hint="eastAsia"/>
        </w:rPr>
        <w:t>看的微风化</w:t>
      </w:r>
      <w:r w:rsidR="00672023">
        <w:rPr>
          <w:rFonts w:hint="eastAsia"/>
        </w:rPr>
        <w:t>，对于具体环境下的楼梯，可以认为</w:t>
      </w:r>
      <w:r w:rsidR="00672023">
        <w:rPr>
          <w:rFonts w:hint="eastAsia"/>
        </w:rPr>
        <w:t>每一年</w:t>
      </w:r>
      <w:r w:rsidR="00672023">
        <w:rPr>
          <w:rFonts w:hint="eastAsia"/>
        </w:rPr>
        <w:t>造成的磨损量相同</w:t>
      </w:r>
      <w:r>
        <w:rPr>
          <w:rFonts w:hint="eastAsia"/>
        </w:rPr>
        <w:t>。</w:t>
      </w:r>
    </w:p>
    <w:p w14:paraId="7E6D2724" w14:textId="332A4A13" w:rsidR="004A4334" w:rsidRDefault="001B32B1" w:rsidP="00672023">
      <w:pPr>
        <w:pStyle w:val="a7"/>
        <w:widowControl/>
        <w:ind w:left="720"/>
      </w:pPr>
      <w:r>
        <w:t>C. 楼梯的维修或翻新历史；</w:t>
      </w:r>
    </w:p>
    <w:p w14:paraId="65AEEEB6" w14:textId="786879EA" w:rsidR="004A4334" w:rsidRDefault="004767E5" w:rsidP="00672023">
      <w:pPr>
        <w:pStyle w:val="a7"/>
        <w:widowControl/>
        <w:ind w:left="720"/>
      </w:pPr>
      <w:r>
        <w:rPr>
          <w:rFonts w:hint="eastAsia"/>
        </w:rPr>
        <w:t>（</w:t>
      </w:r>
      <w:r w:rsidR="002D6300">
        <w:rPr>
          <w:rFonts w:hint="eastAsia"/>
        </w:rPr>
        <w:t>李锦</w:t>
      </w:r>
      <w:r>
        <w:rPr>
          <w:rFonts w:hint="eastAsia"/>
        </w:rPr>
        <w:t>）</w:t>
      </w:r>
      <w:r w:rsidR="001B32B1">
        <w:br/>
        <w:t>D. 楼梯建造材料来源的确定性；</w:t>
      </w:r>
    </w:p>
    <w:p w14:paraId="0ECAF5DC" w14:textId="1B46ADE6" w:rsidR="00B807CA" w:rsidRDefault="00B807CA" w:rsidP="00672023">
      <w:pPr>
        <w:pStyle w:val="a7"/>
        <w:widowControl/>
        <w:ind w:left="720"/>
      </w:pPr>
    </w:p>
    <w:p w14:paraId="0862DA37" w14:textId="77777777" w:rsidR="00B807CA" w:rsidRPr="00B807CA" w:rsidRDefault="00B807CA" w:rsidP="00B807CA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B807C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Can the source of the material be determined? For example, if stone is used is the</w:t>
      </w:r>
    </w:p>
    <w:p w14:paraId="535A2C26" w14:textId="77777777" w:rsidR="00B807CA" w:rsidRPr="00B807CA" w:rsidRDefault="00B807CA" w:rsidP="00B807CA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B807C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wear consistent with materials from a quarry the archaeologist believes is the original</w:t>
      </w:r>
    </w:p>
    <w:p w14:paraId="455C822D" w14:textId="77777777" w:rsidR="00B807CA" w:rsidRPr="00B807CA" w:rsidRDefault="00B807CA" w:rsidP="00B807CA">
      <w:pPr>
        <w:widowControl/>
        <w:jc w:val="left"/>
        <w:rPr>
          <w:rFonts w:ascii="TimesNewRomanPSMT" w:eastAsia="宋体" w:hAnsi="TimesNewRomanPSMT" w:cs="宋体"/>
          <w:color w:val="000000"/>
          <w:kern w:val="0"/>
          <w:sz w:val="24"/>
          <w:szCs w:val="24"/>
        </w:rPr>
      </w:pPr>
      <w:r w:rsidRPr="00B807CA">
        <w:rPr>
          <w:rFonts w:ascii="TimesNewRomanPSMT" w:eastAsia="宋体" w:hAnsi="TimesNewRomanPSMT" w:cs="宋体"/>
          <w:color w:val="000000"/>
          <w:kern w:val="0"/>
          <w:sz w:val="24"/>
          <w:szCs w:val="24"/>
        </w:rPr>
        <w:t>source or if wood was used is the wear consistent with the age and type of trees that</w:t>
      </w:r>
    </w:p>
    <w:p w14:paraId="018A1425" w14:textId="5FEBF1D9" w:rsidR="00B807CA" w:rsidRDefault="00B807CA" w:rsidP="00B807CA">
      <w:pPr>
        <w:pStyle w:val="a7"/>
        <w:widowControl/>
        <w:ind w:left="720"/>
        <w:rPr>
          <w:rFonts w:ascii="TimesNewRomanPSMT" w:eastAsia="宋体" w:hAnsi="TimesNewRomanPSMT" w:cs="宋体"/>
          <w:color w:val="000000"/>
        </w:rPr>
      </w:pPr>
      <w:r w:rsidRPr="00B807CA">
        <w:rPr>
          <w:rFonts w:ascii="TimesNewRomanPSMT" w:eastAsia="宋体" w:hAnsi="TimesNewRomanPSMT" w:cs="宋体"/>
          <w:color w:val="000000"/>
        </w:rPr>
        <w:t>are assumed to be used?</w:t>
      </w:r>
    </w:p>
    <w:p w14:paraId="79AA0512" w14:textId="0A916B51" w:rsidR="00B807CA" w:rsidRDefault="00B807CA" w:rsidP="00B807CA">
      <w:pPr>
        <w:pStyle w:val="a7"/>
        <w:widowControl/>
        <w:ind w:left="720"/>
        <w:rPr>
          <w:rFonts w:ascii="TimesNewRomanPSMT" w:eastAsia="宋体" w:hAnsi="TimesNewRomanPSMT" w:cs="宋体"/>
          <w:color w:val="000000"/>
        </w:rPr>
      </w:pPr>
    </w:p>
    <w:p w14:paraId="07CECBEF" w14:textId="77777777" w:rsidR="00B807CA" w:rsidRDefault="00B807CA" w:rsidP="00B807CA">
      <w:pPr>
        <w:pStyle w:val="a7"/>
        <w:widowControl/>
        <w:ind w:left="720"/>
        <w:rPr>
          <w:rFonts w:hint="eastAsia"/>
        </w:rPr>
      </w:pPr>
    </w:p>
    <w:p w14:paraId="6937D695" w14:textId="10B45077" w:rsidR="00B807CA" w:rsidRDefault="00B807CA" w:rsidP="005F0DB4">
      <w:pPr>
        <w:pStyle w:val="a7"/>
        <w:widowControl/>
        <w:spacing w:before="100" w:after="100"/>
        <w:ind w:left="720"/>
      </w:pPr>
      <w:r>
        <w:rPr>
          <w:rFonts w:hint="eastAsia"/>
        </w:rPr>
        <w:lastRenderedPageBreak/>
        <w:t>这对符号内容注释掉</w:t>
      </w:r>
      <w:r>
        <w:t>/*</w:t>
      </w:r>
    </w:p>
    <w:p w14:paraId="1435C8CF" w14:textId="18394C7B" w:rsidR="00BC09EB" w:rsidRDefault="006F124B" w:rsidP="005F0DB4">
      <w:pPr>
        <w:pStyle w:val="a7"/>
        <w:widowControl/>
        <w:spacing w:before="100" w:after="100"/>
        <w:ind w:left="720"/>
        <w:rPr>
          <w:rFonts w:ascii="微软雅黑" w:eastAsia="微软雅黑" w:hAnsi="微软雅黑"/>
          <w:color w:val="535861"/>
          <w:sz w:val="27"/>
          <w:szCs w:val="27"/>
          <w:shd w:val="clear" w:color="auto" w:fill="FFFFFF"/>
        </w:rPr>
      </w:pPr>
      <w:r>
        <w:rPr>
          <w:rFonts w:hint="eastAsia"/>
        </w:rPr>
        <w:t>比较B问题中得到开始使用的年代和考古学家给出的大致年龄范围。如果B中得到的结果在给出的年龄范围内（或相差不大），则在次年份前后1</w:t>
      </w:r>
      <w:r>
        <w:t>0</w:t>
      </w:r>
      <w:r>
        <w:rPr>
          <w:rFonts w:hint="eastAsia"/>
        </w:rPr>
        <w:t>年的范围（相差不大时可考虑在2</w:t>
      </w:r>
      <w:r>
        <w:t>0</w:t>
      </w:r>
      <w:r>
        <w:rPr>
          <w:rFonts w:hint="eastAsia"/>
        </w:rPr>
        <w:t>年的范围内）查询附近</w:t>
      </w:r>
      <w:r w:rsidR="00466746">
        <w:rPr>
          <w:rFonts w:hint="eastAsia"/>
        </w:rPr>
        <w:t>对应的建材提供厂。考虑大量的木材和石材运输成本较大</w:t>
      </w:r>
      <w:r w:rsidR="00BC09EB">
        <w:rPr>
          <w:rFonts w:hint="eastAsia"/>
        </w:rPr>
        <w:t>；根据设施选址模型，各建材厂的服务范围倾向于不重叠且</w:t>
      </w:r>
      <w:r w:rsidR="005F0DB4">
        <w:rPr>
          <w:rFonts w:hint="eastAsia"/>
        </w:rPr>
        <w:t>建材厂倾向于位于服务覆盖范围的中心，</w:t>
      </w:r>
      <w:r w:rsidR="00BC09EB">
        <w:rPr>
          <w:rFonts w:ascii="微软雅黑" w:eastAsia="微软雅黑" w:hAnsi="微软雅黑" w:hint="eastAsia"/>
          <w:color w:val="535861"/>
          <w:sz w:val="27"/>
          <w:szCs w:val="27"/>
          <w:shd w:val="clear" w:color="auto" w:fill="FFFFFF"/>
        </w:rPr>
        <w:t>Ho-Yin Mak and Zuo-Jun Max Shen (2016), “Integrated Modeling for Location Analysis”, Foundations and Trends in Technology, Information and Operations Management: Vol. 9, No. 1-2, pp 1–152. DOI: 10.1561/0200000037</w:t>
      </w:r>
      <w:r w:rsidR="005F0DB4">
        <w:rPr>
          <w:rFonts w:ascii="微软雅黑" w:eastAsia="微软雅黑" w:hAnsi="微软雅黑" w:hint="eastAsia"/>
          <w:color w:val="535861"/>
          <w:sz w:val="27"/>
          <w:szCs w:val="27"/>
          <w:shd w:val="clear" w:color="auto" w:fill="FFFFFF"/>
        </w:rPr>
        <w:t>，因此可以认为最近的对应材料提供厂即为建筑楼梯的材料来源。</w:t>
      </w:r>
    </w:p>
    <w:p w14:paraId="419309F2" w14:textId="0507D314" w:rsidR="00B807CA" w:rsidRDefault="00B807CA" w:rsidP="005F0DB4">
      <w:pPr>
        <w:pStyle w:val="a7"/>
        <w:widowControl/>
        <w:spacing w:before="100" w:after="100"/>
        <w:ind w:left="720"/>
        <w:rPr>
          <w:rFonts w:ascii="微软雅黑" w:eastAsia="微软雅黑" w:hAnsi="微软雅黑" w:hint="eastAsia"/>
          <w:color w:val="535861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535861"/>
          <w:sz w:val="27"/>
          <w:szCs w:val="27"/>
          <w:shd w:val="clear" w:color="auto" w:fill="FFFFFF"/>
        </w:rPr>
        <w:t>*</w:t>
      </w:r>
      <w:r>
        <w:rPr>
          <w:rFonts w:ascii="微软雅黑" w:eastAsia="微软雅黑" w:hAnsi="微软雅黑"/>
          <w:color w:val="535861"/>
          <w:sz w:val="27"/>
          <w:szCs w:val="27"/>
          <w:shd w:val="clear" w:color="auto" w:fill="FFFFFF"/>
        </w:rPr>
        <w:t>/</w:t>
      </w:r>
    </w:p>
    <w:p w14:paraId="45B8964D" w14:textId="1EE53EC9" w:rsidR="00BC09EB" w:rsidRDefault="00BC09EB" w:rsidP="00672023">
      <w:pPr>
        <w:pStyle w:val="a7"/>
        <w:widowControl/>
        <w:ind w:left="720"/>
        <w:rPr>
          <w:rFonts w:ascii="微软雅黑" w:eastAsia="微软雅黑" w:hAnsi="微软雅黑"/>
          <w:color w:val="535861"/>
          <w:sz w:val="27"/>
          <w:szCs w:val="27"/>
          <w:shd w:val="clear" w:color="auto" w:fill="FFFFFF"/>
        </w:rPr>
      </w:pPr>
    </w:p>
    <w:p w14:paraId="7DFE95E8" w14:textId="77777777" w:rsidR="00BC09EB" w:rsidRDefault="00BC09EB" w:rsidP="00672023">
      <w:pPr>
        <w:pStyle w:val="a7"/>
        <w:widowControl/>
        <w:ind w:left="720"/>
        <w:rPr>
          <w:rFonts w:ascii="微软雅黑" w:eastAsia="微软雅黑" w:hAnsi="微软雅黑"/>
          <w:color w:val="535861"/>
          <w:sz w:val="27"/>
          <w:szCs w:val="27"/>
          <w:shd w:val="clear" w:color="auto" w:fill="FFFFFF"/>
        </w:rPr>
      </w:pPr>
    </w:p>
    <w:p w14:paraId="1E531959" w14:textId="77777777" w:rsidR="00BC09EB" w:rsidRDefault="00BC09EB" w:rsidP="00672023">
      <w:pPr>
        <w:pStyle w:val="a7"/>
        <w:widowControl/>
        <w:ind w:left="720"/>
        <w:rPr>
          <w:rFonts w:ascii="微软雅黑" w:eastAsia="微软雅黑" w:hAnsi="微软雅黑"/>
          <w:color w:val="535861"/>
          <w:sz w:val="27"/>
          <w:szCs w:val="27"/>
          <w:shd w:val="clear" w:color="auto" w:fill="FFFFFF"/>
        </w:rPr>
      </w:pPr>
    </w:p>
    <w:p w14:paraId="2A972BB0" w14:textId="2AC9E496" w:rsidR="001B32B1" w:rsidRDefault="001B32B1" w:rsidP="00672023">
      <w:pPr>
        <w:pStyle w:val="a7"/>
        <w:widowControl/>
        <w:ind w:left="720"/>
      </w:pPr>
      <w:r>
        <w:br/>
        <w:t xml:space="preserve">E. </w:t>
      </w:r>
      <w:r w:rsidRPr="00EA247E">
        <w:rPr>
          <w:rFonts w:ascii="宋体" w:eastAsia="宋体" w:hAnsi="宋体" w:cs="宋体"/>
        </w:rPr>
        <w:t>楼梯在典型一天中使用人数的数量，以及是短时间内大量人群使用楼梯，还是长时间内少量人群使用楼梯</w:t>
      </w:r>
      <w:r>
        <w:t>。</w:t>
      </w:r>
    </w:p>
    <w:p w14:paraId="76E0843B" w14:textId="54AD89E5" w:rsidR="004767E5" w:rsidRDefault="00B807CA">
      <w:r>
        <w:rPr>
          <w:rFonts w:hint="eastAsia"/>
        </w:rPr>
        <w:lastRenderedPageBreak/>
        <w:t xml:space="preserve"> </w:t>
      </w:r>
      <w:r>
        <w:t xml:space="preserve">       </w:t>
      </w:r>
      <w:r w:rsidR="004767E5">
        <w:rPr>
          <w:rFonts w:hint="eastAsia"/>
        </w:rPr>
        <w:t>（）</w:t>
      </w:r>
    </w:p>
    <w:p w14:paraId="209000BE" w14:textId="4B05A3D7" w:rsidR="00BB6B4D" w:rsidRDefault="00BB6B4D">
      <w:r>
        <w:rPr>
          <w:rFonts w:ascii="Arial" w:eastAsia="宋体" w:hAnsi="Arial" w:cs="Arial" w:hint="eastAsia"/>
          <w:color w:val="333333"/>
          <w:kern w:val="0"/>
          <w:szCs w:val="21"/>
        </w:rPr>
        <w:t>疲劳强度受到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t>loading frequency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的影响，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t>loading frequency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即对材料施加力的频率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越大，材料产生裂纹甚至断裂的可能性就越高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【文件夹内论文引用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/>
          <w:color w:val="333333"/>
          <w:kern w:val="0"/>
          <w:szCs w:val="21"/>
        </w:rPr>
        <w:t>-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第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】。</w:t>
      </w:r>
    </w:p>
    <w:p w14:paraId="785C28C5" w14:textId="77777777" w:rsidR="00BB6B4D" w:rsidRDefault="00BB6B4D">
      <w:pPr>
        <w:rPr>
          <w:rFonts w:hint="eastAsia"/>
        </w:rPr>
      </w:pPr>
    </w:p>
    <w:p w14:paraId="729AF935" w14:textId="24DDEDAD" w:rsidR="00BB6B4D" w:rsidRDefault="00CF220D" w:rsidP="00BB6B4D">
      <w:r w:rsidRPr="00FB5119">
        <w:rPr>
          <w:rFonts w:ascii="Arial" w:eastAsia="宋体" w:hAnsi="Arial" w:cs="Arial"/>
          <w:color w:val="333333"/>
          <w:kern w:val="0"/>
          <w:szCs w:val="21"/>
        </w:rPr>
        <w:t>loading frequency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还会影响</w:t>
      </w:r>
      <w:r w:rsidRPr="00FB5119">
        <w:rPr>
          <w:rFonts w:ascii="Arial" w:eastAsia="宋体" w:hAnsi="Arial" w:cs="Arial"/>
          <w:color w:val="333333"/>
          <w:kern w:val="0"/>
          <w:szCs w:val="21"/>
        </w:rPr>
        <w:t>delamination fatigue crack growth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【文件夹内论文引用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/>
          <w:color w:val="333333"/>
          <w:kern w:val="0"/>
          <w:szCs w:val="21"/>
        </w:rPr>
        <w:t>-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第四】，由实验数据得到，</w:t>
      </w:r>
      <w:r w:rsidRPr="00CF220D">
        <w:rPr>
          <w:rFonts w:ascii="Arial" w:eastAsia="宋体" w:hAnsi="Arial" w:cs="Arial" w:hint="eastAsia"/>
          <w:color w:val="333333"/>
          <w:kern w:val="0"/>
          <w:szCs w:val="21"/>
        </w:rPr>
        <w:t>频率较高时，材料的应力场变化较快，内部的微小裂纹容易迅速扩展，。频率较低时，裂纹扩展的速度较慢。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研究人员还针对钢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和合金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，具体测定了其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室温条件下材料裂纹扩展和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loading</w:t>
      </w:r>
      <w:r w:rsidR="00BB6B4D">
        <w:rPr>
          <w:rFonts w:ascii="Arial" w:eastAsia="宋体" w:hAnsi="Arial" w:cs="Arial"/>
          <w:color w:val="333333"/>
          <w:kern w:val="0"/>
          <w:szCs w:val="21"/>
        </w:rPr>
        <w:t xml:space="preserve"> frequency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的关系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【文件夹内论文引用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="00BB6B4D">
        <w:rPr>
          <w:rFonts w:ascii="Arial" w:eastAsia="宋体" w:hAnsi="Arial" w:cs="Arial"/>
          <w:color w:val="333333"/>
          <w:kern w:val="0"/>
          <w:szCs w:val="21"/>
        </w:rPr>
        <w:t>-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第</w:t>
      </w:r>
      <w:r w:rsidR="00BB6B4D">
        <w:rPr>
          <w:rFonts w:ascii="Arial" w:eastAsia="宋体" w:hAnsi="Arial" w:cs="Arial"/>
          <w:color w:val="333333"/>
          <w:kern w:val="0"/>
          <w:szCs w:val="21"/>
        </w:rPr>
        <w:t>3</w:t>
      </w:r>
      <w:r w:rsidR="00BB6B4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="00BB6B4D">
        <w:rPr>
          <w:rFonts w:ascii="Arial" w:eastAsia="宋体" w:hAnsi="Arial" w:cs="Arial"/>
          <w:color w:val="333333"/>
          <w:kern w:val="0"/>
          <w:szCs w:val="21"/>
        </w:rPr>
        <w:t>4</w:t>
      </w:r>
      <w:r w:rsidR="00BB6B4D">
        <w:rPr>
          <w:rFonts w:ascii="Arial" w:eastAsia="宋体" w:hAnsi="Arial" w:cs="Arial" w:hint="eastAsia"/>
          <w:color w:val="333333"/>
          <w:kern w:val="0"/>
          <w:szCs w:val="21"/>
        </w:rPr>
        <w:t>】</w:t>
      </w:r>
    </w:p>
    <w:p w14:paraId="58BA9F02" w14:textId="3E575513" w:rsidR="00BB6B4D" w:rsidRPr="00BB6B4D" w:rsidRDefault="00BB6B4D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76714618" w14:textId="77777777" w:rsidR="00BB6B4D" w:rsidRDefault="00BB6B4D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1BA1A645" w14:textId="66F75538" w:rsidR="00CF220D" w:rsidRDefault="00BB6B4D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可以总结并得出结论，加载频率会通过影响内部细小裂纹的扩展进而影响断裂的概率。因此，</w:t>
      </w:r>
      <w:r w:rsidR="005060E9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短时间内大量人群使用楼梯时</w:t>
      </w:r>
      <w:r w:rsidR="005060E9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5060E9">
        <w:rPr>
          <w:rFonts w:ascii="Arial" w:eastAsia="宋体" w:hAnsi="Arial" w:cs="Arial" w:hint="eastAsia"/>
          <w:color w:val="333333"/>
          <w:kern w:val="0"/>
          <w:szCs w:val="21"/>
        </w:rPr>
        <w:t>l</w:t>
      </w:r>
      <w:r w:rsidR="005060E9">
        <w:rPr>
          <w:rFonts w:ascii="Arial" w:eastAsia="宋体" w:hAnsi="Arial" w:cs="Arial"/>
          <w:color w:val="333333"/>
          <w:kern w:val="0"/>
          <w:szCs w:val="21"/>
        </w:rPr>
        <w:t xml:space="preserve">oading frequency </w:t>
      </w:r>
      <w:r w:rsidR="005060E9">
        <w:rPr>
          <w:rFonts w:ascii="Arial" w:eastAsia="宋体" w:hAnsi="Arial" w:cs="Arial" w:hint="eastAsia"/>
          <w:color w:val="333333"/>
          <w:kern w:val="0"/>
          <w:szCs w:val="21"/>
        </w:rPr>
        <w:t>较大，容易在内部产生细小裂纹并扩展至外部。</w:t>
      </w:r>
    </w:p>
    <w:p w14:paraId="398D3643" w14:textId="796777E9" w:rsidR="005060E9" w:rsidRDefault="005060E9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1170221B" w14:textId="38ADC840" w:rsidR="005060E9" w:rsidRDefault="005060E9">
      <w:pPr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同时，楼梯在外边沿处因为几何形状的突然变化，应力集中，容易产生疲劳并促进此处的裂纹扩展直至断裂。结合建筑的实际情况也可以</w:t>
      </w:r>
      <w:r w:rsidR="009C577D">
        <w:rPr>
          <w:rFonts w:ascii="Arial" w:eastAsia="宋体" w:hAnsi="Arial" w:cs="Arial" w:hint="eastAsia"/>
          <w:color w:val="333333"/>
          <w:kern w:val="0"/>
          <w:szCs w:val="21"/>
        </w:rPr>
        <w:t>发现</w:t>
      </w:r>
      <w:r w:rsidR="00CE6BDA">
        <w:rPr>
          <w:rFonts w:ascii="Arial" w:eastAsia="宋体" w:hAnsi="Arial" w:cs="Arial" w:hint="eastAsia"/>
          <w:color w:val="333333"/>
          <w:kern w:val="0"/>
          <w:szCs w:val="21"/>
        </w:rPr>
        <w:t>，裂纹总是出现在楼梯的外沿处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（这里需要插几张古建筑楼梯的实际图片吗）</w:t>
      </w:r>
    </w:p>
    <w:p w14:paraId="0B09E98A" w14:textId="165113F3" w:rsidR="00BB6B4D" w:rsidRPr="00CE6BDA" w:rsidRDefault="00BB6B4D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4A0C3090" w14:textId="5A2778DE" w:rsidR="009C577D" w:rsidRDefault="00CE6BDA">
      <w:pPr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依据以上所有理论，</w:t>
      </w:r>
      <w:r w:rsidR="009C577D">
        <w:rPr>
          <w:rFonts w:ascii="Arial" w:eastAsia="宋体" w:hAnsi="Arial" w:cs="Arial" w:hint="eastAsia"/>
          <w:color w:val="333333"/>
          <w:kern w:val="0"/>
          <w:szCs w:val="21"/>
        </w:rPr>
        <w:t>楼梯边沿有碎裂时较大概率有很多人在短时间内使用楼梯。</w:t>
      </w:r>
    </w:p>
    <w:p w14:paraId="3F770953" w14:textId="0B02F5BE" w:rsidR="00BB6B4D" w:rsidRDefault="00CE6BDA">
      <w:pPr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使用楼梯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0</w:t>
      </w:r>
      <w:r>
        <w:rPr>
          <w:rFonts w:ascii="Arial" w:eastAsia="宋体" w:hAnsi="Arial" w:cs="Arial"/>
          <w:color w:val="333333"/>
          <w:kern w:val="0"/>
          <w:szCs w:val="21"/>
        </w:rPr>
        <w:t>-3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格子处的凹陷深度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x</w:t>
      </w:r>
      <w:r>
        <w:rPr>
          <w:rFonts w:ascii="Arial" w:eastAsia="宋体" w:hAnsi="Arial" w:cs="Arial"/>
          <w:color w:val="333333"/>
          <w:kern w:val="0"/>
          <w:szCs w:val="21"/>
        </w:rPr>
        <w:t>6</w:t>
      </w:r>
      <w:r w:rsidR="009C577D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如下公式判断：</w:t>
      </w:r>
      <w:r w:rsidR="004747F1">
        <w:rPr>
          <w:rFonts w:ascii="Arial" w:eastAsia="宋体" w:hAnsi="Arial" w:cs="Arial" w:hint="eastAsia"/>
          <w:color w:val="333333"/>
          <w:kern w:val="0"/>
          <w:szCs w:val="21"/>
        </w:rPr>
        <w:t>LFP</w:t>
      </w:r>
      <w:r w:rsidR="004747F1">
        <w:rPr>
          <w:rFonts w:ascii="Arial" w:eastAsia="宋体" w:hAnsi="Arial" w:cs="Arial"/>
          <w:color w:val="333333"/>
          <w:kern w:val="0"/>
          <w:szCs w:val="21"/>
        </w:rPr>
        <w:t>=</w:t>
      </w:r>
      <w:r w:rsidR="009C577D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4747F1">
        <w:rPr>
          <w:rFonts w:ascii="Arial" w:eastAsia="宋体" w:hAnsi="Arial" w:cs="Arial" w:hint="eastAsia"/>
          <w:color w:val="333333"/>
          <w:kern w:val="0"/>
          <w:szCs w:val="21"/>
        </w:rPr>
        <w:t>下图公式</w:t>
      </w:r>
    </w:p>
    <w:p w14:paraId="41F0EA67" w14:textId="22C21E06" w:rsidR="00CE6BDA" w:rsidRDefault="004747F1">
      <w:pPr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42E9AD" w14:textId="7CE324B5" w:rsidR="00CF220D" w:rsidRDefault="004747F1">
      <w:r>
        <w:rPr>
          <w:noProof/>
        </w:rPr>
        <w:drawing>
          <wp:inline distT="0" distB="0" distL="0" distR="0" wp14:anchorId="622FA391" wp14:editId="01CEB574">
            <wp:extent cx="5270500" cy="736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3502" w14:textId="09724DF2" w:rsidR="009C577D" w:rsidRDefault="009C577D"/>
    <w:p w14:paraId="0124E395" w14:textId="360CE96B" w:rsidR="009C577D" w:rsidRDefault="009C577D">
      <w:r>
        <w:rPr>
          <w:rFonts w:hint="eastAsia"/>
        </w:rPr>
        <w:t>判断x</w:t>
      </w:r>
      <w:r>
        <w:t>6</w:t>
      </w:r>
      <w:r>
        <w:rPr>
          <w:rFonts w:hint="eastAsia"/>
        </w:rPr>
        <w:t>和lfp是否有显著差异：</w:t>
      </w:r>
    </w:p>
    <w:p w14:paraId="67121225" w14:textId="77777777" w:rsidR="00E916A1" w:rsidRDefault="00E916A1">
      <w:pPr>
        <w:rPr>
          <w:noProof/>
        </w:rPr>
      </w:pPr>
    </w:p>
    <w:p w14:paraId="2863798D" w14:textId="74FE9E76" w:rsidR="009C577D" w:rsidRDefault="00E916A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905CB9E" wp14:editId="19372E79">
            <wp:extent cx="4113635" cy="7018655"/>
            <wp:effectExtent l="0" t="4763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6" t="11581" r="22953" b="-11581"/>
                    <a:stretch/>
                  </pic:blipFill>
                  <pic:spPr bwMode="auto">
                    <a:xfrm rot="16200000">
                      <a:off x="0" y="0"/>
                      <a:ext cx="4113635" cy="70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6C5CB" w14:textId="3B4F0A41" w:rsidR="004747F1" w:rsidRDefault="004747F1"/>
    <w:p w14:paraId="374253A2" w14:textId="32DA112B" w:rsidR="00E916A1" w:rsidRDefault="00E916A1">
      <w:pPr>
        <w:rPr>
          <w:rFonts w:hint="eastAsia"/>
        </w:rPr>
      </w:pPr>
      <w:r>
        <w:rPr>
          <w:rFonts w:hint="eastAsia"/>
        </w:rPr>
        <w:t>使用这个的原因：不需要判断x</w:t>
      </w:r>
      <w:r>
        <w:t>6</w:t>
      </w:r>
      <w:r>
        <w:rPr>
          <w:rFonts w:hint="eastAsia"/>
        </w:rPr>
        <w:t>和x</w:t>
      </w:r>
      <w:r>
        <w:t>6+lfp</w:t>
      </w:r>
      <w:r>
        <w:rPr>
          <w:rFonts w:hint="eastAsia"/>
        </w:rPr>
        <w:t>是否满足同一分布，且正常磨损多时该步道断裂的可能性大，两组数据形状相同，满足mann</w:t>
      </w:r>
      <w:r>
        <w:t>-</w:t>
      </w:r>
      <w:r>
        <w:rPr>
          <w:rFonts w:hint="eastAsia"/>
        </w:rPr>
        <w:t>Whitney的判断条件。</w:t>
      </w:r>
    </w:p>
    <w:p w14:paraId="6550F100" w14:textId="6D3A7D51" w:rsidR="00E916A1" w:rsidRDefault="00E916A1"/>
    <w:p w14:paraId="77E670FA" w14:textId="77777777" w:rsidR="00E916A1" w:rsidRDefault="00E916A1">
      <w:pPr>
        <w:rPr>
          <w:rFonts w:hint="eastAsia"/>
        </w:rPr>
      </w:pPr>
    </w:p>
    <w:p w14:paraId="22FD7E36" w14:textId="20DDED3E" w:rsidR="004747F1" w:rsidRDefault="004747F1">
      <w:pPr>
        <w:rPr>
          <w:rFonts w:hint="eastAsia"/>
        </w:rPr>
      </w:pPr>
      <w:r>
        <w:rPr>
          <w:rFonts w:hint="eastAsia"/>
        </w:rPr>
        <w:t>当x</w:t>
      </w:r>
      <w:r>
        <w:t>6</w:t>
      </w:r>
      <w:r>
        <w:rPr>
          <w:rFonts w:hint="eastAsia"/>
        </w:rPr>
        <w:t>与LFP有显著差异时则楼梯外沿处有非磨损和弯曲导致的材料损失</w:t>
      </w:r>
      <w:r w:rsidR="009C577D">
        <w:rPr>
          <w:rFonts w:hint="eastAsia"/>
        </w:rPr>
        <w:t>，即短时间内有大量人使用楼梯；反之，没有显著差异时认为人们的使用方式（原文表述）是长时间少数人使用。</w:t>
      </w:r>
    </w:p>
    <w:p w14:paraId="21278C91" w14:textId="77777777" w:rsidR="004747F1" w:rsidRPr="00CF220D" w:rsidRDefault="004747F1">
      <w:pPr>
        <w:rPr>
          <w:rFonts w:hint="eastAsia"/>
        </w:rPr>
      </w:pPr>
    </w:p>
    <w:sectPr w:rsidR="004747F1" w:rsidRPr="00CF2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D576" w14:textId="77777777" w:rsidR="00C84F33" w:rsidRDefault="00C84F33" w:rsidP="001B32B1">
      <w:r>
        <w:separator/>
      </w:r>
    </w:p>
  </w:endnote>
  <w:endnote w:type="continuationSeparator" w:id="0">
    <w:p w14:paraId="6C412A8B" w14:textId="77777777" w:rsidR="00C84F33" w:rsidRDefault="00C84F33" w:rsidP="001B3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414C1" w14:textId="77777777" w:rsidR="00C84F33" w:rsidRDefault="00C84F33" w:rsidP="001B32B1">
      <w:r>
        <w:separator/>
      </w:r>
    </w:p>
  </w:footnote>
  <w:footnote w:type="continuationSeparator" w:id="0">
    <w:p w14:paraId="6A138C5B" w14:textId="77777777" w:rsidR="00C84F33" w:rsidRDefault="00C84F33" w:rsidP="001B3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2ABA"/>
    <w:multiLevelType w:val="hybridMultilevel"/>
    <w:tmpl w:val="9446BD24"/>
    <w:lvl w:ilvl="0" w:tplc="1B34D8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64"/>
    <w:rsid w:val="001B32B1"/>
    <w:rsid w:val="002D6300"/>
    <w:rsid w:val="00466746"/>
    <w:rsid w:val="004747F1"/>
    <w:rsid w:val="004767E5"/>
    <w:rsid w:val="004A4334"/>
    <w:rsid w:val="005060E9"/>
    <w:rsid w:val="005F0DB4"/>
    <w:rsid w:val="00672023"/>
    <w:rsid w:val="006F124B"/>
    <w:rsid w:val="008D0153"/>
    <w:rsid w:val="009C577D"/>
    <w:rsid w:val="00A351BE"/>
    <w:rsid w:val="00B807CA"/>
    <w:rsid w:val="00BB6B4D"/>
    <w:rsid w:val="00BC09EB"/>
    <w:rsid w:val="00C84F33"/>
    <w:rsid w:val="00CE6BDA"/>
    <w:rsid w:val="00CF220D"/>
    <w:rsid w:val="00E916A1"/>
    <w:rsid w:val="00EA247E"/>
    <w:rsid w:val="00F808EC"/>
    <w:rsid w:val="00F8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B7437"/>
  <w15:chartTrackingRefBased/>
  <w15:docId w15:val="{ABA825D5-B008-46EB-9D20-A17C26F9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2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2B1"/>
    <w:rPr>
      <w:sz w:val="18"/>
      <w:szCs w:val="18"/>
    </w:rPr>
  </w:style>
  <w:style w:type="paragraph" w:styleId="a7">
    <w:name w:val="Normal (Web)"/>
    <w:basedOn w:val="a"/>
    <w:rsid w:val="001B32B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fontstyle01">
    <w:name w:val="fontstyle01"/>
    <w:basedOn w:val="a0"/>
    <w:rsid w:val="00B807C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423C-8FD0-4ADC-9CDE-519B885CB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6</cp:revision>
  <dcterms:created xsi:type="dcterms:W3CDTF">2025-01-25T23:23:00Z</dcterms:created>
  <dcterms:modified xsi:type="dcterms:W3CDTF">2025-01-26T06:12:00Z</dcterms:modified>
</cp:coreProperties>
</file>