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d7d76853a4bc3d1244e08400e7b111b29066d21"/>
    <w:p>
      <w:pPr>
        <w:pStyle w:val="Heading1"/>
      </w:pPr>
      <w:r>
        <w:t xml:space="preserve">Senior Tranche Lifetime PD: Approach 1 Limitations and Q-Factor Design</w:t>
      </w:r>
    </w:p>
    <w:p>
      <w:pPr>
        <w:pStyle w:val="FirstParagraph"/>
      </w:pPr>
      <w:r>
        <w:t xml:space="preserve">October 22, 2026</w:t>
      </w:r>
    </w:p>
    <w:bookmarkStart w:id="20" w:name="executive-summary"/>
    <w:p>
      <w:pPr>
        <w:pStyle w:val="Heading2"/>
      </w:pPr>
      <w:r>
        <w:t xml:space="preserve">Executive summary</w:t>
      </w:r>
    </w:p>
    <w:p>
      <w:pPr>
        <w:pStyle w:val="FirstParagraph"/>
      </w:pPr>
      <w:r>
        <w:t xml:space="preserve">Approach 1 annualizes each loan’s PD and simulates once, which removes maturity timing before the model runs. It cannot tell apart deals whose risk differs only in timing, and the timing effect itself changes direction with the waterfall. Two thought experiments show the problem.</w:t>
      </w:r>
    </w:p>
    <w:p>
      <w:pPr>
        <w:pStyle w:val="BodyText"/>
      </w:pPr>
      <w:r>
        <w:rPr>
          <w:bCs/>
          <w:b/>
        </w:rPr>
        <w:t xml:space="preserve">1. Same inputs, different deals, same rating.</w:t>
      </w:r>
      <w:r>
        <w:t xml:space="preserve"> </w:t>
      </w:r>
      <w:r>
        <w:t xml:space="preserve">Two pools have identical annualized loan PDs. In one, maturities are laddered over several years; in the other, every loan matures in the same quarter. Approach 1 gives both the same tranche PD, even though the second pool concentrates refinancing risk into a single market window. No calibration can fix this, because the timing information is gone before the simulation starts.</w:t>
      </w:r>
    </w:p>
    <w:p>
      <w:pPr>
        <w:pStyle w:val="BodyText"/>
      </w:pPr>
      <w:r>
        <w:rPr>
          <w:bCs/>
          <w:b/>
        </w:rPr>
        <w:t xml:space="preserve">2. Timing helps or hurts depending on the waterfall.</w:t>
      </w:r>
      <w:r>
        <w:t xml:space="preserve"> </w:t>
      </w:r>
      <w:r>
        <w:t xml:space="preserve">Take a $100 pool of ten loans, a 70% advance rate and 50% LGD. Under pro-rata payment, a ladder leaves the senior exposed at the end to one remaining loan with only $3 of equity beneath it, so the single-quarter wall is safer. Under sequential payment, early payoffs retire the senior before the tail, so the ladder is safer. The same maturity profile flips from good to bad, and Approach 1 sees neither case.</w:t>
      </w:r>
    </w:p>
    <w:p>
      <w:pPr>
        <w:pStyle w:val="BodyText"/>
      </w:pPr>
      <w:r>
        <w:rPr>
          <w:bCs/>
          <w:b/>
        </w:rPr>
        <w:t xml:space="preserve">Key risks of relying on Approach 1</w:t>
      </w:r>
    </w:p>
    <w:p>
      <w:pPr>
        <w:numPr>
          <w:ilvl w:val="0"/>
          <w:numId w:val="1001"/>
        </w:numPr>
        <w:pStyle w:val="Compact"/>
      </w:pPr>
      <w:r>
        <w:rPr>
          <w:bCs/>
          <w:b/>
        </w:rPr>
        <w:t xml:space="preserve">Mis-ranking:</w:t>
      </w:r>
      <w:r>
        <w:t xml:space="preserve"> </w:t>
      </w:r>
      <w:r>
        <w:t xml:space="preserve">deals with materially different senior risk receive the same rating.</w:t>
      </w:r>
    </w:p>
    <w:p>
      <w:pPr>
        <w:numPr>
          <w:ilvl w:val="0"/>
          <w:numId w:val="1001"/>
        </w:numPr>
        <w:pStyle w:val="Compact"/>
      </w:pPr>
      <w:r>
        <w:rPr>
          <w:bCs/>
          <w:b/>
        </w:rPr>
        <w:t xml:space="preserve">No path to CECL:</w:t>
      </w:r>
      <w:r>
        <w:t xml:space="preserve"> </w:t>
      </w:r>
      <w:r>
        <w:t xml:space="preserve">lifetime loss under scenarios needs timing, so CECL would require a separate framework and an ongoing reconciliation with the rating.</w:t>
      </w:r>
    </w:p>
    <w:p>
      <w:pPr>
        <w:numPr>
          <w:ilvl w:val="0"/>
          <w:numId w:val="1001"/>
        </w:numPr>
        <w:pStyle w:val="Compact"/>
      </w:pPr>
      <w:r>
        <w:rPr>
          <w:bCs/>
          <w:b/>
        </w:rPr>
        <w:t xml:space="preserve">Overlay burden:</w:t>
      </w:r>
      <w:r>
        <w:t xml:space="preserve"> </w:t>
      </w:r>
      <w:r>
        <w:t xml:space="preserve">correcting it needs a Q-factor indexed on four interacting dimensions (maturity concentration, WAL, waterfall type, advance rate). That factor is effectively a model and will be governed and challenged as one.</w:t>
      </w:r>
    </w:p>
    <w:p>
      <w:pPr>
        <w:numPr>
          <w:ilvl w:val="0"/>
          <w:numId w:val="1001"/>
        </w:numPr>
        <w:pStyle w:val="Compact"/>
      </w:pPr>
      <w:r>
        <w:rPr>
          <w:bCs/>
          <w:b/>
        </w:rPr>
        <w:t xml:space="preserve">Sparse calibration:</w:t>
      </w:r>
      <w:r>
        <w:t xml:space="preserve"> </w:t>
      </w:r>
      <w:r>
        <w:t xml:space="preserve">the riskiest shapes are thinly represented in historical deals, which is where the correction matters most.</w:t>
      </w:r>
    </w:p>
    <w:p>
      <w:pPr>
        <w:pStyle w:val="FirstParagraph"/>
      </w:pPr>
      <w:r>
        <w:rPr>
          <w:bCs/>
          <w:b/>
        </w:rPr>
        <w:t xml:space="preserve">Bottom line.</w:t>
      </w:r>
      <w:r>
        <w:t xml:space="preserve"> </w:t>
      </w:r>
      <w:r>
        <w:t xml:space="preserve">Approach 1 plus the Q-factor is acceptable for risk rating under the conditions below. CECL should use the multi-period approach, and the longer-term target is a single multi-period engine serving both.</w:t>
      </w:r>
    </w:p>
    <w:bookmarkEnd w:id="20"/>
    <w:bookmarkStart w:id="21" w:name="purpose-and-context"/>
    <w:p>
      <w:pPr>
        <w:pStyle w:val="Heading2"/>
      </w:pPr>
      <w:r>
        <w:t xml:space="preserve">Purpose and context</w:t>
      </w:r>
    </w:p>
    <w:p>
      <w:pPr>
        <w:pStyle w:val="FirstParagraph"/>
      </w:pPr>
      <w:r>
        <w:t xml:space="preserve">Approach 1 (annualized loan PDs, single-period simulation) cannot distinguish deals whose risk differs only in timing, so it should serve as the rating baseline only when paired with a constrained, four-dimensional Q-factor mapping table. This note sets out why, and what that table must look like.</w:t>
      </w:r>
    </w:p>
    <w:p>
      <w:pPr>
        <w:pStyle w:val="BodyText"/>
      </w:pPr>
      <w:r>
        <w:t xml:space="preserve">The exposure is the bank’s senior position in a debt fund SPV. The SPV holds individual CRE loans, each with its own lifetime PD curve, maturity date and elevated default risk at the balloon. The question is how to produce a lifetime default forecast for the senior tranche, for risk rating and, ideally, CECL.</w:t>
      </w:r>
    </w:p>
    <w:p>
      <w:pPr>
        <w:pStyle w:val="BodyText"/>
      </w:pPr>
      <w:r>
        <w:t xml:space="preserve">Terminology: credit enhancement (CE) is expressed through the advance rate. CE = 1 − advance rate; a 65% advance rate means the fund’s equity absorbs the first 35% of pool losses.</w:t>
      </w:r>
    </w:p>
    <w:bookmarkEnd w:id="21"/>
    <w:bookmarkStart w:id="22" w:name="the-two-approaches-and-their-assumptions"/>
    <w:p>
      <w:pPr>
        <w:pStyle w:val="Heading2"/>
      </w:pPr>
      <w:r>
        <w:t xml:space="preserve">The two approaches and their assumptions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Approach 1: annualize, simulate once</w:t>
            </w:r>
          </w:p>
        </w:tc>
        <w:tc>
          <w:tcPr/>
          <w:p>
            <w:pPr>
              <w:pStyle w:val="Compact"/>
              <w:jc w:val="left"/>
            </w:pPr>
            <w:r>
              <w:t xml:space="preserve">Approach 2: actual timing, multi-period</w:t>
            </w:r>
          </w:p>
        </w:tc>
      </w:tr>
      <w:tr>
        <w:tc>
          <w:tcPr/>
          <w:p>
            <w:pPr>
              <w:pStyle w:val="Compact"/>
              <w:jc w:val="left"/>
            </w:pPr>
            <w:r>
              <w:t xml:space="preserve">Method</w:t>
            </w:r>
          </w:p>
        </w:tc>
        <w:tc>
          <w:tcPr/>
          <w:p>
            <w:pPr>
              <w:pStyle w:val="Compact"/>
              <w:jc w:val="left"/>
            </w:pPr>
            <w:r>
              <w:t xml:space="preserve">Convert each loan’s lifetime PD (balloon included) to a constant 1-year PD; one simulation of the pool against the structure</w:t>
            </w:r>
          </w:p>
        </w:tc>
        <w:tc>
          <w:tcPr/>
          <w:p>
            <w:pPr>
              <w:pStyle w:val="Compact"/>
              <w:jc w:val="left"/>
            </w:pPr>
            <w:r>
              <w:t xml:space="preserve">Use each loan’s actual maturity and PD curve; simulate the pool period by period and test the structure at each point</w:t>
            </w:r>
          </w:p>
        </w:tc>
      </w:tr>
      <w:tr>
        <w:tc>
          <w:tcPr/>
          <w:p>
            <w:pPr>
              <w:pStyle w:val="Compact"/>
              <w:jc w:val="left"/>
            </w:pPr>
            <w:r>
              <w:t xml:space="preserve">Hazard shape</w:t>
            </w:r>
          </w:p>
        </w:tc>
        <w:tc>
          <w:tcPr/>
          <w:p>
            <w:pPr>
              <w:pStyle w:val="Compact"/>
              <w:jc w:val="left"/>
            </w:pPr>
            <w:r>
              <w:t xml:space="preserve">Flat; the balloon spike is spread evenly over the loan’s life</w:t>
            </w:r>
          </w:p>
        </w:tc>
        <w:tc>
          <w:tcPr/>
          <w:p>
            <w:pPr>
              <w:pStyle w:val="Compact"/>
              <w:jc w:val="left"/>
            </w:pPr>
            <w:r>
              <w:t xml:space="preserve">As forecast; the balloon spike stays at maturity</w:t>
            </w:r>
          </w:p>
        </w:tc>
      </w:tr>
      <w:tr>
        <w:tc>
          <w:tcPr/>
          <w:p>
            <w:pPr>
              <w:pStyle w:val="Compact"/>
              <w:jc w:val="left"/>
            </w:pPr>
            <w:r>
              <w:t xml:space="preserve">Pool over time</w:t>
            </w:r>
          </w:p>
        </w:tc>
        <w:tc>
          <w:tcPr/>
          <w:p>
            <w:pPr>
              <w:pStyle w:val="Compact"/>
              <w:jc w:val="left"/>
            </w:pPr>
            <w:r>
              <w:t xml:space="preserve">Static; no amortization, payoffs or change in subordination</w:t>
            </w:r>
          </w:p>
        </w:tc>
        <w:tc>
          <w:tcPr/>
          <w:p>
            <w:pPr>
              <w:pStyle w:val="Compact"/>
              <w:jc w:val="left"/>
            </w:pPr>
            <w:r>
              <w:t xml:space="preserve">Runs down as loans pay off, default or mature</w:t>
            </w:r>
          </w:p>
        </w:tc>
      </w:tr>
      <w:tr>
        <w:tc>
          <w:tcPr/>
          <w:p>
            <w:pPr>
              <w:pStyle w:val="Compact"/>
              <w:jc w:val="left"/>
            </w:pPr>
            <w:r>
              <w:t xml:space="preserve">Structure test</w:t>
            </w:r>
          </w:p>
        </w:tc>
        <w:tc>
          <w:tcPr/>
          <w:p>
            <w:pPr>
              <w:pStyle w:val="Compact"/>
              <w:jc w:val="left"/>
            </w:pPr>
            <w:r>
              <w:t xml:space="preserve">Once</w:t>
            </w:r>
          </w:p>
        </w:tc>
        <w:tc>
          <w:tcPr/>
          <w:p>
            <w:pPr>
              <w:pStyle w:val="Compact"/>
              <w:jc w:val="left"/>
            </w:pPr>
            <w:r>
              <w:t xml:space="preserve">Every period, including waterfall and triggers</w:t>
            </w:r>
          </w:p>
        </w:tc>
      </w:tr>
      <w:tr>
        <w:tc>
          <w:tcPr/>
          <w:p>
            <w:pPr>
              <w:pStyle w:val="Compact"/>
              <w:jc w:val="left"/>
            </w:pPr>
            <w:r>
              <w:t xml:space="preserve">Lifetime tranche PD</w:t>
            </w:r>
          </w:p>
        </w:tc>
        <w:tc>
          <w:tcPr/>
          <w:p>
            <w:pPr>
              <w:pStyle w:val="Compact"/>
              <w:jc w:val="left"/>
            </w:pPr>
            <w:r>
              <w:t xml:space="preserve">Compounded from 1-year: 1 − (1 − p)</w:t>
            </w:r>
            <w:r>
              <w:rPr>
                <w:vertAlign w:val="superscript"/>
              </w:rPr>
              <w:t xml:space="preserve">T</w:t>
            </w:r>
          </w:p>
        </w:tc>
        <w:tc>
          <w:tcPr/>
          <w:p>
            <w:pPr>
              <w:pStyle w:val="Compact"/>
              <w:jc w:val="left"/>
            </w:pPr>
            <w:r>
              <w:t xml:space="preserve">Read directly from simulated paths</w:t>
            </w:r>
          </w:p>
        </w:tc>
      </w:tr>
      <w:tr>
        <w:tc>
          <w:tcPr/>
          <w:p>
            <w:pPr>
              <w:pStyle w:val="Compact"/>
              <w:jc w:val="left"/>
            </w:pPr>
            <w:r>
              <w:t xml:space="preserve">Key dependencies</w:t>
            </w:r>
          </w:p>
        </w:tc>
        <w:tc>
          <w:tcPr/>
          <w:p>
            <w:pPr>
              <w:pStyle w:val="Compact"/>
              <w:jc w:val="left"/>
            </w:pPr>
            <w:r>
              <w:t xml:space="preserve">Annualization is a fair summary of each loan</w:t>
            </w:r>
          </w:p>
        </w:tc>
        <w:tc>
          <w:tcPr/>
          <w:p>
            <w:pPr>
              <w:pStyle w:val="Compact"/>
              <w:jc w:val="left"/>
            </w:pPr>
            <w:r>
              <w:t xml:space="preserve">Credible multi-period correlation; survival-conditional hazards; extension and prepayment behavior</w:t>
            </w:r>
          </w:p>
        </w:tc>
      </w:tr>
    </w:tbl>
    <w:p>
      <w:pPr>
        <w:pStyle w:val="BodyText"/>
      </w:pPr>
      <w:r>
        <w:t xml:space="preserve">Approach 1’s strengths are real: it is simple, transparent, easy to validate, consistent with a 1-year rating scale, and avoids parameters (multi-period correlation, extension behavior) that CRE data identify poorly. Approach 2’s strengths are that it answers the lifetime question directly and captures path dependency, at the cost of more model risk.</w:t>
      </w:r>
    </w:p>
    <w:bookmarkEnd w:id="22"/>
    <w:bookmarkStart w:id="23" w:name="X07471fd6b00c2113eaa29b937d1295a5049e47e"/>
    <w:p>
      <w:pPr>
        <w:pStyle w:val="Heading2"/>
      </w:pPr>
      <w:r>
        <w:t xml:space="preserve">Core concern: Approach 1 cannot see maturity timing</w:t>
      </w:r>
    </w:p>
    <w:p>
      <w:pPr>
        <w:pStyle w:val="FirstParagraph"/>
      </w:pPr>
      <w:r>
        <w:t xml:space="preserve">Two deals with identical annualized loan PDs receive identical tranche PDs under Approach 1, however different their maturity profiles. This is a failure by construction, not calibration: no tuning can fix it, because the information is removed before the simulation runs.</w:t>
      </w:r>
    </w:p>
    <w:p>
      <w:pPr>
        <w:pStyle w:val="BodyText"/>
      </w:pPr>
      <w:r>
        <w:rPr>
          <w:bCs/>
          <w:b/>
        </w:rPr>
        <w:t xml:space="preserve">Thought experiment.</w:t>
      </w:r>
      <w:r>
        <w:t xml:space="preserve"> </w:t>
      </w:r>
      <w:r>
        <w:t xml:space="preserve">Construct two deals whose underlying loans have the same annualized PDs:</w:t>
      </w:r>
    </w:p>
    <w:p>
      <w:pPr>
        <w:numPr>
          <w:ilvl w:val="0"/>
          <w:numId w:val="1002"/>
        </w:numPr>
        <w:pStyle w:val="Compact"/>
      </w:pPr>
      <w:r>
        <w:rPr>
          <w:bCs/>
          <w:b/>
        </w:rPr>
        <w:t xml:space="preserve">Deal A (laddered):</w:t>
      </w:r>
      <w:r>
        <w:t xml:space="preserve"> </w:t>
      </w:r>
      <w:r>
        <w:t xml:space="preserve">maturities spread evenly across a multi-year window.</w:t>
      </w:r>
    </w:p>
    <w:p>
      <w:pPr>
        <w:numPr>
          <w:ilvl w:val="0"/>
          <w:numId w:val="1002"/>
        </w:numPr>
        <w:pStyle w:val="Compact"/>
      </w:pPr>
      <w:r>
        <w:rPr>
          <w:bCs/>
          <w:b/>
        </w:rPr>
        <w:t xml:space="preserve">Deal B (wall):</w:t>
      </w:r>
      <w:r>
        <w:t xml:space="preserve"> </w:t>
      </w:r>
      <w:r>
        <w:t xml:space="preserve">all maturities fall in a single year, or a single quarter.</w:t>
      </w:r>
    </w:p>
    <w:p>
      <w:pPr>
        <w:pStyle w:val="FirstParagraph"/>
      </w:pPr>
      <w:r>
        <w:t xml:space="preserve">Approach 1 annualizes every loan to the same 1-year PD, runs the same simulation and compounds to the same lifetime number. The two deals are rated identically. Intuitively, and in practice, a lender treats them differently: the balloon is refinancing risk, which is systematic (rates, cap rates, lender appetite at maturity), so a wall concentrates that systematic exposure into one window. Approach 2 separates the two deals; Approach 1 cannot.</w:t>
      </w:r>
    </w:p>
    <w:p>
      <w:pPr>
        <w:pStyle w:val="BodyText"/>
      </w:pPr>
      <w:r>
        <w:t xml:space="preserve">This test should be documented as a discriminatory-power benchmark. It is the single clearest exhibit for why Approach 1 alone is insufficient.</w:t>
      </w:r>
    </w:p>
    <w:p>
      <w:pPr>
        <w:pStyle w:val="BodyText"/>
      </w:pPr>
      <w:r>
        <w:rPr>
          <w:bCs/>
          <w:b/>
        </w:rPr>
        <w:t xml:space="preserve">On balloon risk itself.</w:t>
      </w:r>
      <w:r>
        <w:t xml:space="preserve"> </w:t>
      </w:r>
      <w:r>
        <w:t xml:space="preserve">For CRE it is reasonable to assume every loan carries balloon risk, so the presence of a spike is not a differentiator. What varies is its size (leverage, coverage and the rate environment at maturity), and that already flows through each loan’s PD curve. The gap that remains is timing and clustering, which is what the thought experiment isolates.</w:t>
      </w:r>
    </w:p>
    <w:bookmarkEnd w:id="23"/>
    <w:bookmarkStart w:id="24" w:name="the-timing-effect-can-go-either-way"/>
    <w:p>
      <w:pPr>
        <w:pStyle w:val="Heading2"/>
      </w:pPr>
      <w:r>
        <w:t xml:space="preserve">The timing effect can go either way</w:t>
      </w:r>
    </w:p>
    <w:p>
      <w:pPr>
        <w:pStyle w:val="FirstParagraph"/>
      </w:pPr>
      <w:r>
        <w:t xml:space="preserve">Maturity concentration is not uniformly bad for the senior tranche; its effect depends on the waterfall. That is why a Q-factor cannot simply penalize concentration.</w:t>
      </w:r>
    </w:p>
    <w:p>
      <w:pPr>
        <w:pStyle w:val="BodyText"/>
      </w:pPr>
      <w:r>
        <w:rPr>
          <w:bCs/>
          <w:b/>
        </w:rPr>
        <w:t xml:space="preserve">Setup.</w:t>
      </w:r>
      <w:r>
        <w:t xml:space="preserve"> </w:t>
      </w:r>
      <w:r>
        <w:t xml:space="preserve">A $100 pool of ten $10 loans. 70% advance rate: senior $70, fund equity $30 (CE = 30%). LGD = 50%. Deal A matures one loan per year over 10 years; Deal B matures all ten in one quarter.</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Waterfall</w:t>
            </w:r>
          </w:p>
        </w:tc>
        <w:tc>
          <w:tcPr/>
          <w:p>
            <w:pPr>
              <w:pStyle w:val="Compact"/>
              <w:jc w:val="left"/>
            </w:pPr>
            <w:r>
              <w:t xml:space="preserve">Deal A (laddered)</w:t>
            </w:r>
          </w:p>
        </w:tc>
        <w:tc>
          <w:tcPr/>
          <w:p>
            <w:pPr>
              <w:pStyle w:val="Compact"/>
              <w:jc w:val="left"/>
            </w:pPr>
            <w:r>
              <w:t xml:space="preserve">Deal B (wall)</w:t>
            </w:r>
          </w:p>
        </w:tc>
        <w:tc>
          <w:tcPr/>
          <w:p>
            <w:pPr>
              <w:pStyle w:val="Compact"/>
              <w:jc w:val="left"/>
            </w:pPr>
            <w:r>
              <w:t xml:space="preserve">Safer for senior</w:t>
            </w:r>
          </w:p>
        </w:tc>
      </w:tr>
      <w:tr>
        <w:tc>
          <w:tcPr/>
          <w:p>
            <w:pPr>
              <w:pStyle w:val="Compact"/>
              <w:jc w:val="left"/>
            </w:pPr>
            <w:r>
              <w:t xml:space="preserve">Pro-rata (payoffs split 70/30)</w:t>
            </w:r>
          </w:p>
        </w:tc>
        <w:tc>
          <w:tcPr/>
          <w:p>
            <w:pPr>
              <w:pStyle w:val="Compact"/>
              <w:jc w:val="left"/>
            </w:pPr>
            <w:r>
              <w:t xml:space="preserve">By year 10 one loan remains: $7 senior, $3 equity. If it defaults, loss is $5; equity absorbs $3, senior loses $2. Risk rests on one loan, likely the weakest survivor</w:t>
            </w:r>
          </w:p>
        </w:tc>
        <w:tc>
          <w:tcPr/>
          <w:p>
            <w:pPr>
              <w:pStyle w:val="Compact"/>
              <w:jc w:val="left"/>
            </w:pPr>
            <w:r>
              <w:t xml:space="preserve">All loans resolve together with the full $30 cushion. Senior loses only if more than 60% of the pool defaults at once</w:t>
            </w:r>
          </w:p>
        </w:tc>
        <w:tc>
          <w:tcPr/>
          <w:p>
            <w:pPr>
              <w:pStyle w:val="Compact"/>
              <w:jc w:val="left"/>
            </w:pPr>
            <w:r>
              <w:t xml:space="preserve">Deal B (wall)</w:t>
            </w:r>
          </w:p>
        </w:tc>
      </w:tr>
      <w:tr>
        <w:tc>
          <w:tcPr/>
          <w:p>
            <w:pPr>
              <w:pStyle w:val="Compact"/>
              <w:jc w:val="left"/>
            </w:pPr>
            <w:r>
              <w:t xml:space="preserve">Sequential (payoffs to senior first)</w:t>
            </w:r>
          </w:p>
        </w:tc>
        <w:tc>
          <w:tcPr/>
          <w:p>
            <w:pPr>
              <w:pStyle w:val="Compact"/>
              <w:jc w:val="left"/>
            </w:pPr>
            <w:r>
              <w:t xml:space="preserve">The first 7 payoffs retire the $70 senior before the tail loans mature</w:t>
            </w:r>
          </w:p>
        </w:tc>
        <w:tc>
          <w:tcPr/>
          <w:p>
            <w:pPr>
              <w:pStyle w:val="Compact"/>
              <w:jc w:val="left"/>
            </w:pPr>
            <w:r>
              <w:t xml:space="preserve">Same single test as above</w:t>
            </w:r>
          </w:p>
        </w:tc>
        <w:tc>
          <w:tcPr/>
          <w:p>
            <w:pPr>
              <w:pStyle w:val="Compact"/>
              <w:jc w:val="left"/>
            </w:pPr>
            <w:r>
              <w:t xml:space="preserve">Deal A (ladder)</w:t>
            </w:r>
          </w:p>
        </w:tc>
      </w:tr>
    </w:tbl>
    <w:p>
      <w:pPr>
        <w:pStyle w:val="BodyText"/>
      </w:pPr>
      <w:r>
        <w:t xml:space="preserve">Under pro-rata, the ladder is worse: dollar CE shrinks with the pool, concentration rises at the tail, and adverse selection leaves the weakest loans last. Under sequential, the ladder is better: early payoffs retire the senior before the risk arrives. Approach 1 sees neither effect.</w:t>
      </w:r>
    </w:p>
    <w:bookmarkEnd w:id="24"/>
    <w:bookmarkStart w:id="25" w:name="additional-concerns-with-approach-1"/>
    <w:p>
      <w:pPr>
        <w:pStyle w:val="Heading2"/>
      </w:pPr>
      <w:r>
        <w:t xml:space="preserve">Additional concerns with Approach 1</w:t>
      </w:r>
    </w:p>
    <w:p>
      <w:pPr>
        <w:numPr>
          <w:ilvl w:val="0"/>
          <w:numId w:val="1003"/>
        </w:numPr>
        <w:pStyle w:val="Compact"/>
      </w:pPr>
      <w:r>
        <w:rPr>
          <w:bCs/>
          <w:b/>
        </w:rPr>
        <w:t xml:space="preserve">Averaging before a nonlinearity.</w:t>
      </w:r>
      <w:r>
        <w:t xml:space="preserve"> </w:t>
      </w:r>
      <w:r>
        <w:t xml:space="preserve">Senior loss is a convex function of pool loss in the tail. Annualizing loan PDs before the tranche calculation is not equivalent to annualizing the tranche result after it.</w:t>
      </w:r>
    </w:p>
    <w:p>
      <w:pPr>
        <w:numPr>
          <w:ilvl w:val="0"/>
          <w:numId w:val="1003"/>
        </w:numPr>
        <w:pStyle w:val="Compact"/>
      </w:pPr>
      <w:r>
        <w:rPr>
          <w:bCs/>
          <w:b/>
        </w:rPr>
        <w:t xml:space="preserve">Tranche hazard is not constant.</w:t>
      </w:r>
      <w:r>
        <w:t xml:space="preserve"> </w:t>
      </w:r>
      <w:r>
        <w:t xml:space="preserve">Early losses erode CE, so later-period default probability rises conditional on what came before. Compounding a 1-year tranche PD as 1 − (1 − p)</w:t>
      </w:r>
      <w:r>
        <w:rPr>
          <w:vertAlign w:val="superscript"/>
        </w:rPr>
        <w:t xml:space="preserve">T</w:t>
      </w:r>
      <w:r>
        <w:t xml:space="preserve"> </w:t>
      </w:r>
      <w:r>
        <w:t xml:space="preserve">understates this. Simulating cumulative PDs to a common horizon instead loses the maturity differences entirely.</w:t>
      </w:r>
    </w:p>
    <w:p>
      <w:pPr>
        <w:numPr>
          <w:ilvl w:val="0"/>
          <w:numId w:val="1003"/>
        </w:numPr>
        <w:pStyle w:val="Compact"/>
      </w:pPr>
      <w:r>
        <w:rPr>
          <w:bCs/>
          <w:b/>
        </w:rPr>
        <w:t xml:space="preserve">No waterfall dynamics.</w:t>
      </w:r>
      <w:r>
        <w:t xml:space="preserve"> </w:t>
      </w:r>
      <w:r>
        <w:t xml:space="preserve">Sequential paydown, pro-rata erosion, triggers and adverse selection all depend on the path the pool takes. A single snapshot cannot represent them.</w:t>
      </w:r>
    </w:p>
    <w:p>
      <w:pPr>
        <w:numPr>
          <w:ilvl w:val="0"/>
          <w:numId w:val="1003"/>
        </w:numPr>
        <w:pStyle w:val="Compact"/>
      </w:pPr>
      <w:r>
        <w:rPr>
          <w:bCs/>
          <w:b/>
        </w:rPr>
        <w:t xml:space="preserve">No route to CECL.</w:t>
      </w:r>
      <w:r>
        <w:t xml:space="preserve"> </w:t>
      </w:r>
      <w:r>
        <w:t xml:space="preserve">CECL needs lifetime losses under macro scenarios, with timing. Annualization discards exactly that, so CECL would need a separate framework. Two methods on one exposure create a standing reconciliation problem whenever the rating and the allowance disagree.</w:t>
      </w:r>
    </w:p>
    <w:p>
      <w:pPr>
        <w:pStyle w:val="FirstParagraph"/>
      </w:pPr>
      <w:r>
        <w:t xml:space="preserve">Approach 1 is therefore a risk-rating tool only. It should not be extended to CECL or loss forecasting.</w:t>
      </w:r>
    </w:p>
    <w:bookmarkEnd w:id="25"/>
    <w:bookmarkStart w:id="26" w:name="X19840fa3643fac60f78603194d040b814d2316d"/>
    <w:p>
      <w:pPr>
        <w:pStyle w:val="Heading2"/>
      </w:pPr>
      <w:r>
        <w:t xml:space="preserve">When Approach 1 plus a Q-factor is acceptable</w:t>
      </w:r>
    </w:p>
    <w:p>
      <w:pPr>
        <w:pStyle w:val="FirstParagraph"/>
      </w:pPr>
      <w:r>
        <w:t xml:space="preserve">The combination is defensible for risk rating if all of the following hold.</w:t>
      </w:r>
    </w:p>
    <w:p>
      <w:pPr>
        <w:numPr>
          <w:ilvl w:val="0"/>
          <w:numId w:val="1004"/>
        </w:numPr>
        <w:pStyle w:val="Compact"/>
      </w:pPr>
      <w:r>
        <w:rPr>
          <w:bCs/>
          <w:b/>
        </w:rPr>
        <w:t xml:space="preserve">Purpose is limited to risk rating.</w:t>
      </w:r>
      <w:r>
        <w:t xml:space="preserve"> </w:t>
      </w:r>
      <w:r>
        <w:t xml:space="preserve">The output maps to a 1-year grade. CECL and loss forecasting use a timing-aware method.</w:t>
      </w:r>
    </w:p>
    <w:p>
      <w:pPr>
        <w:numPr>
          <w:ilvl w:val="0"/>
          <w:numId w:val="1004"/>
        </w:numPr>
        <w:pStyle w:val="Compact"/>
      </w:pPr>
      <w:r>
        <w:rPr>
          <w:bCs/>
          <w:b/>
        </w:rPr>
        <w:t xml:space="preserve">The Q-factor is calibrated from Approach 2 under run-down.</w:t>
      </w:r>
      <w:r>
        <w:t xml:space="preserve"> </w:t>
      </w:r>
      <w:r>
        <w:t xml:space="preserve">Approach 2 is run on historical deals assuming no replenishment, and the rating difference between the approaches is mapped to deal features. Run-down is the relevant stress path: replenishment typically stops at the end of the reinvestment period, on an amortization event, or when the lender stops advancing.</w:t>
      </w:r>
    </w:p>
    <w:p>
      <w:pPr>
        <w:numPr>
          <w:ilvl w:val="0"/>
          <w:numId w:val="1004"/>
        </w:numPr>
        <w:pStyle w:val="Compact"/>
      </w:pPr>
      <w:r>
        <w:rPr>
          <w:bCs/>
          <w:b/>
        </w:rPr>
        <w:t xml:space="preserve">Both approaches use identical loan PD inputs.</w:t>
      </w:r>
      <w:r>
        <w:t xml:space="preserve"> </w:t>
      </w:r>
      <w:r>
        <w:t xml:space="preserve">The gap must reflect structure and timing only, not input differences.</w:t>
      </w:r>
    </w:p>
    <w:p>
      <w:pPr>
        <w:numPr>
          <w:ilvl w:val="0"/>
          <w:numId w:val="1004"/>
        </w:numPr>
        <w:pStyle w:val="Compact"/>
      </w:pPr>
      <w:r>
        <w:rPr>
          <w:bCs/>
          <w:b/>
        </w:rPr>
        <w:t xml:space="preserve">The comparison metric is fixed ex ante and like-for-like.</w:t>
      </w:r>
      <w:r>
        <w:t xml:space="preserve"> </w:t>
      </w:r>
      <w:r>
        <w:t xml:space="preserve">Either lifetime tranche PD from both approaches, or the first-year marginal from Approach 2 against Approach 1’s 1-year PD. Mixing horizons mixes horizon effects into the factor.</w:t>
      </w:r>
    </w:p>
    <w:p>
      <w:pPr>
        <w:numPr>
          <w:ilvl w:val="0"/>
          <w:numId w:val="1004"/>
        </w:numPr>
        <w:pStyle w:val="Compact"/>
      </w:pPr>
      <w:r>
        <w:rPr>
          <w:bCs/>
          <w:b/>
        </w:rPr>
        <w:t xml:space="preserve">The adjustment can move in both directions.</w:t>
      </w:r>
      <w:r>
        <w:t xml:space="preserve"> </w:t>
      </w:r>
      <w:r>
        <w:t xml:space="preserve">Per the waterfall example, timing can make a deal safer as well as riskier. A one-sided factor measures conservatism, not timing risk. If it is floored at zero, document why.</w:t>
      </w:r>
    </w:p>
    <w:p>
      <w:pPr>
        <w:numPr>
          <w:ilvl w:val="0"/>
          <w:numId w:val="1004"/>
        </w:numPr>
        <w:pStyle w:val="Compact"/>
      </w:pPr>
      <w:r>
        <w:rPr>
          <w:bCs/>
          <w:b/>
        </w:rPr>
        <w:t xml:space="preserve">The deal falls inside the calibration range.</w:t>
      </w:r>
      <w:r>
        <w:t xml:space="preserve"> </w:t>
      </w:r>
      <w:r>
        <w:t xml:space="preserve">A new deal whose features sit outside the historical sample (for example, a single-quarter wall with thin CE) is run through Approach 2 directly rather than extrapolated from the table.</w:t>
      </w:r>
    </w:p>
    <w:p>
      <w:pPr>
        <w:numPr>
          <w:ilvl w:val="0"/>
          <w:numId w:val="1004"/>
        </w:numPr>
        <w:pStyle w:val="Compact"/>
      </w:pPr>
      <w:r>
        <w:rPr>
          <w:bCs/>
          <w:b/>
        </w:rPr>
        <w:t xml:space="preserve">The pool snapshot is refreshed.</w:t>
      </w:r>
      <w:r>
        <w:t xml:space="preserve"> </w:t>
      </w:r>
      <w:r>
        <w:t xml:space="preserve">For revolving facilities, the rating reflects the current pool’s shape. Material changes in maturity profile or advance rate trigger a re-rating.</w:t>
      </w:r>
    </w:p>
    <w:bookmarkEnd w:id="26"/>
    <w:bookmarkStart w:id="29" w:name="X7ebaf68692000dad7e52f4f486b2434d0ea3a7d"/>
    <w:p>
      <w:pPr>
        <w:pStyle w:val="Heading2"/>
      </w:pPr>
      <w:r>
        <w:t xml:space="preserve">Q-factor design: a four-dimensional mapping table</w:t>
      </w:r>
    </w:p>
    <w:p>
      <w:pPr>
        <w:pStyle w:val="FirstParagraph"/>
      </w:pPr>
      <w:r>
        <w:t xml:space="preserve">The Q-factor is a notch adjustment looked up on four dimensions, each describing something Approach 1 cannot see. A table missing any one of them cannot correct for it, and because the dimensions interact (concentration flips sign with the waterfall), the table must be indexed on their combinations, not on each factor separately.</w:t>
      </w:r>
    </w:p>
    <w:bookmarkStart w:id="27" w:name="the-four-dimensions"/>
    <w:p>
      <w:pPr>
        <w:pStyle w:val="Heading3"/>
      </w:pPr>
      <w:r>
        <w:t xml:space="preserve">The four dimensions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Dimension</w:t>
            </w:r>
          </w:p>
        </w:tc>
        <w:tc>
          <w:tcPr/>
          <w:p>
            <w:pPr>
              <w:pStyle w:val="Compact"/>
              <w:jc w:val="left"/>
            </w:pPr>
            <w:r>
              <w:t xml:space="preserve">What it measures</w:t>
            </w:r>
          </w:p>
        </w:tc>
        <w:tc>
          <w:tcPr/>
          <w:p>
            <w:pPr>
              <w:pStyle w:val="Compact"/>
              <w:jc w:val="left"/>
            </w:pPr>
            <w:r>
              <w:t xml:space="preserve">How to compute</w:t>
            </w:r>
          </w:p>
        </w:tc>
        <w:tc>
          <w:tcPr/>
          <w:p>
            <w:pPr>
              <w:pStyle w:val="Compact"/>
              <w:jc w:val="left"/>
            </w:pPr>
            <w:r>
              <w:t xml:space="preserve">Why it matters</w:t>
            </w:r>
          </w:p>
        </w:tc>
        <w:tc>
          <w:tcPr/>
          <w:p>
            <w:pPr>
              <w:pStyle w:val="Compact"/>
              <w:jc w:val="left"/>
            </w:pPr>
            <w:r>
              <w:t xml:space="preserve">Illustrative buckets</w:t>
            </w:r>
          </w:p>
        </w:tc>
      </w:tr>
      <w:tr>
        <w:tc>
          <w:tcPr/>
          <w:p>
            <w:pPr>
              <w:pStyle w:val="Compact"/>
              <w:jc w:val="left"/>
            </w:pPr>
            <w:r>
              <w:t xml:space="preserve">PD-weighted maturity concentration</w:t>
            </w:r>
          </w:p>
        </w:tc>
        <w:tc>
          <w:tcPr/>
          <w:p>
            <w:pPr>
              <w:pStyle w:val="Compact"/>
              <w:jc w:val="left"/>
            </w:pPr>
            <w:r>
              <w:t xml:space="preserve">How clustered the risky balloons are</w:t>
            </w:r>
          </w:p>
        </w:tc>
        <w:tc>
          <w:tcPr/>
          <w:p>
            <w:pPr>
              <w:pStyle w:val="Compact"/>
              <w:jc w:val="left"/>
            </w:pPr>
            <w:r>
              <w:t xml:space="preserve">Bucket balance by maturity quarter, weight by balloon PD, take a Herfindahl index of the shares</w:t>
            </w:r>
          </w:p>
        </w:tc>
        <w:tc>
          <w:tcPr/>
          <w:p>
            <w:pPr>
              <w:pStyle w:val="Compact"/>
              <w:jc w:val="left"/>
            </w:pPr>
            <w:r>
              <w:t xml:space="preserve">Captures the wall in the thought experiment; a wall of weak loans counts more than a wall of strong ones</w:t>
            </w:r>
          </w:p>
        </w:tc>
        <w:tc>
          <w:tcPr/>
          <w:p>
            <w:pPr>
              <w:pStyle w:val="Compact"/>
              <w:jc w:val="left"/>
            </w:pPr>
            <w:r>
              <w:t xml:space="preserve">Low &lt; 0.15 · Medium 0.15–0.40 · High &gt; 0.40</w:t>
            </w:r>
          </w:p>
        </w:tc>
      </w:tr>
      <w:tr>
        <w:tc>
          <w:tcPr/>
          <w:p>
            <w:pPr>
              <w:pStyle w:val="Compact"/>
              <w:jc w:val="left"/>
            </w:pPr>
            <w:r>
              <w:t xml:space="preserve">Weighted average life (WAL)</w:t>
            </w:r>
          </w:p>
        </w:tc>
        <w:tc>
          <w:tcPr/>
          <w:p>
            <w:pPr>
              <w:pStyle w:val="Compact"/>
              <w:jc w:val="left"/>
            </w:pPr>
            <w:r>
              <w:t xml:space="preserve">When principal returns, and how long the senior is exposed</w:t>
            </w:r>
          </w:p>
        </w:tc>
        <w:tc>
          <w:tcPr/>
          <w:p>
            <w:pPr>
              <w:pStyle w:val="Compact"/>
              <w:jc w:val="left"/>
            </w:pPr>
            <w:r>
              <w:t xml:space="preserve">Balance-weighted average time to repayment</w:t>
            </w:r>
          </w:p>
        </w:tc>
        <w:tc>
          <w:tcPr/>
          <w:p>
            <w:pPr>
              <w:pStyle w:val="Compact"/>
              <w:jc w:val="left"/>
            </w:pPr>
            <w:r>
              <w:t xml:space="preserve">Separates a wall in year 1 from a wall in year 5, which share the same concentration index</w:t>
            </w:r>
          </w:p>
        </w:tc>
        <w:tc>
          <w:tcPr/>
          <w:p>
            <w:pPr>
              <w:pStyle w:val="Compact"/>
              <w:jc w:val="left"/>
            </w:pPr>
            <w:r>
              <w:t xml:space="preserve">&lt; 2 yrs · 2–4 yrs · &gt; 4 yrs</w:t>
            </w:r>
          </w:p>
        </w:tc>
      </w:tr>
      <w:tr>
        <w:tc>
          <w:tcPr/>
          <w:p>
            <w:pPr>
              <w:pStyle w:val="Compact"/>
              <w:jc w:val="left"/>
            </w:pPr>
            <w:r>
              <w:t xml:space="preserve">Waterfall type</w:t>
            </w:r>
          </w:p>
        </w:tc>
        <w:tc>
          <w:tcPr/>
          <w:p>
            <w:pPr>
              <w:pStyle w:val="Compact"/>
              <w:jc w:val="left"/>
            </w:pPr>
            <w:r>
              <w:t xml:space="preserve">How payoffs are split between senior and equity</w:t>
            </w:r>
          </w:p>
        </w:tc>
        <w:tc>
          <w:tcPr/>
          <w:p>
            <w:pPr>
              <w:pStyle w:val="Compact"/>
              <w:jc w:val="left"/>
            </w:pPr>
            <w:r>
              <w:t xml:space="preserve">Sequential · pro-rata with a sequential trigger · pure pro-rata</w:t>
            </w:r>
          </w:p>
        </w:tc>
        <w:tc>
          <w:tcPr/>
          <w:p>
            <w:pPr>
              <w:pStyle w:val="Compact"/>
              <w:jc w:val="left"/>
            </w:pPr>
            <w:r>
              <w:t xml:space="preserve">Sets the direction of the timing effect</w:t>
            </w:r>
          </w:p>
        </w:tc>
        <w:tc>
          <w:tcPr/>
          <w:p>
            <w:pPr>
              <w:pStyle w:val="Compact"/>
              <w:jc w:val="left"/>
            </w:pPr>
            <w:r>
              <w:t xml:space="preserve">Three categories</w:t>
            </w:r>
          </w:p>
        </w:tc>
      </w:tr>
      <w:tr>
        <w:tc>
          <w:tcPr/>
          <w:p>
            <w:pPr>
              <w:pStyle w:val="Compact"/>
              <w:jc w:val="left"/>
            </w:pPr>
            <w:r>
              <w:t xml:space="preserve">Advance rate (CE)</w:t>
            </w:r>
          </w:p>
        </w:tc>
        <w:tc>
          <w:tcPr/>
          <w:p>
            <w:pPr>
              <w:pStyle w:val="Compact"/>
              <w:jc w:val="left"/>
            </w:pPr>
            <w:r>
              <w:t xml:space="preserve">Size of the cushion below the senior</w:t>
            </w:r>
          </w:p>
        </w:tc>
        <w:tc>
          <w:tcPr/>
          <w:p>
            <w:pPr>
              <w:pStyle w:val="Compact"/>
              <w:jc w:val="left"/>
            </w:pPr>
            <w:r>
              <w:t xml:space="preserve">CE = 1 − advance rate</w:t>
            </w:r>
          </w:p>
        </w:tc>
        <w:tc>
          <w:tcPr/>
          <w:p>
            <w:pPr>
              <w:pStyle w:val="Compact"/>
              <w:jc w:val="left"/>
            </w:pPr>
            <w:r>
              <w:t xml:space="preserve">Senior loses only when pool loss exceeds CE; under pro-rata the dollar cushion shrinks over time</w:t>
            </w:r>
          </w:p>
        </w:tc>
        <w:tc>
          <w:tcPr/>
          <w:p>
            <w:pPr>
              <w:pStyle w:val="Compact"/>
              <w:jc w:val="left"/>
            </w:pPr>
            <w:r>
              <w:t xml:space="preserve">≤ 60% · 60–70% · &gt; 70%</w:t>
            </w:r>
          </w:p>
        </w:tc>
      </w:tr>
    </w:tbl>
    <w:p>
      <w:pPr>
        <w:pStyle w:val="BodyText"/>
      </w:pPr>
      <w:r>
        <w:t xml:space="preserve">The concentration index is:</w:t>
      </w:r>
    </w:p>
    <w:p>
      <w:pPr>
        <w:pStyle w:val="BodyText"/>
      </w:pPr>
      <m:oMathPara>
        <m:oMathParaPr>
          <m:jc m:val="center"/>
        </m:oMathParaPr>
        <m:oMath>
          <m:r>
            <m:t>C</m:t>
          </m:r>
          <m:r>
            <m:rPr>
              <m:sty m:val="p"/>
            </m:rPr>
            <m:t>=</m:t>
          </m:r>
          <m:nary>
            <m:naryPr>
              <m:chr m:val="∑"/>
              <m:limLoc m:val="undOvr"/>
              <m:subHide m:val="off"/>
              <m:supHide m:val="on"/>
            </m:naryPr>
            <m:sub>
              <m:r>
                <m:t>q</m:t>
              </m:r>
            </m:sub>
            <m:sup>
              <m:r>
                <m:t>​</m:t>
              </m:r>
            </m:sup>
            <m:e>
              <m:sSubSup>
                <m:e>
                  <m:r>
                    <m:t>s</m:t>
                  </m:r>
                </m:e>
                <m:sub>
                  <m:r>
                    <m:t>q</m:t>
                  </m:r>
                </m:sub>
                <m:sup>
                  <m:r>
                    <m:t>2</m:t>
                  </m:r>
                </m:sup>
              </m:sSubSup>
            </m:e>
          </m:nary>
          <m:r>
            <m:rPr>
              <m:sty m:val="p"/>
            </m:rPr>
            <m:t>,</m:t>
          </m:r>
          <m:r>
            <m:t>  </m:t>
          </m:r>
          <m:sSub>
            <m:e>
              <m:r>
                <m:t>s</m:t>
              </m:r>
            </m:e>
            <m:sub>
              <m:r>
                <m:t>q</m:t>
              </m:r>
            </m:sub>
          </m:sSub>
          <m:r>
            <m:rPr>
              <m:sty m:val="p"/>
            </m:rPr>
            <m:t>=</m:t>
          </m:r>
          <m:f>
            <m:fPr>
              <m:type m:val="bar"/>
            </m:fPr>
            <m:num>
              <m:nary>
                <m:naryPr>
                  <m:chr m:val="∑"/>
                  <m:limLoc m:val="undOvr"/>
                  <m:subHide m:val="off"/>
                  <m:supHide m:val="on"/>
                </m:naryPr>
                <m:sub>
                  <m:r>
                    <m:t>i</m:t>
                  </m:r>
                  <m:r>
                    <m:rPr>
                      <m:sty m:val="p"/>
                    </m:rPr>
                    <m:t>∈</m:t>
                  </m:r>
                  <m:r>
                    <m:t>q</m:t>
                  </m:r>
                </m:sub>
                <m:sup>
                  <m:r>
                    <m:t>​</m:t>
                  </m:r>
                </m:sup>
                <m:e>
                  <m:sSub>
                    <m:e>
                      <m:r>
                        <m:t>B</m:t>
                      </m:r>
                    </m:e>
                    <m:sub>
                      <m:r>
                        <m:t>i</m:t>
                      </m:r>
                    </m:sub>
                  </m:sSub>
                </m:e>
              </m:nary>
              <m:r>
                <m:rPr>
                  <m:sty m:val="p"/>
                </m:rPr>
                <m:t>⋅</m:t>
              </m:r>
              <m:r>
                <m:t>P</m:t>
              </m:r>
              <m:sSubSup>
                <m:e>
                  <m:r>
                    <m:t>D</m:t>
                  </m:r>
                </m:e>
                <m:sub>
                  <m:r>
                    <m:t>i</m:t>
                  </m:r>
                </m:sub>
                <m:sup>
                  <m:r>
                    <m:t>b</m:t>
                  </m:r>
                  <m:r>
                    <m:t>a</m:t>
                  </m:r>
                  <m:r>
                    <m:t>l</m:t>
                  </m:r>
                  <m:r>
                    <m:t>l</m:t>
                  </m:r>
                  <m:r>
                    <m:t>o</m:t>
                  </m:r>
                  <m:r>
                    <m:t>o</m:t>
                  </m:r>
                  <m:r>
                    <m:t>n</m:t>
                  </m:r>
                </m:sup>
              </m:sSubSup>
            </m:num>
            <m:den>
              <m:nary>
                <m:naryPr>
                  <m:chr m:val="∑"/>
                  <m:limLoc m:val="undOvr"/>
                  <m:subHide m:val="off"/>
                  <m:supHide m:val="on"/>
                </m:naryPr>
                <m:sub>
                  <m:r>
                    <m:t>i</m:t>
                  </m:r>
                </m:sub>
                <m:sup>
                  <m:r>
                    <m:t>​</m:t>
                  </m:r>
                </m:sup>
                <m:e>
                  <m:sSub>
                    <m:e>
                      <m:r>
                        <m:t>B</m:t>
                      </m:r>
                    </m:e>
                    <m:sub>
                      <m:r>
                        <m:t>i</m:t>
                      </m:r>
                    </m:sub>
                  </m:sSub>
                </m:e>
              </m:nary>
              <m:r>
                <m:rPr>
                  <m:sty m:val="p"/>
                </m:rPr>
                <m:t>⋅</m:t>
              </m:r>
              <m:r>
                <m:t>P</m:t>
              </m:r>
              <m:sSubSup>
                <m:e>
                  <m:r>
                    <m:t>D</m:t>
                  </m:r>
                </m:e>
                <m:sub>
                  <m:r>
                    <m:t>i</m:t>
                  </m:r>
                </m:sub>
                <m:sup>
                  <m:r>
                    <m:t>b</m:t>
                  </m:r>
                  <m:r>
                    <m:t>a</m:t>
                  </m:r>
                  <m:r>
                    <m:t>l</m:t>
                  </m:r>
                  <m:r>
                    <m:t>l</m:t>
                  </m:r>
                  <m:r>
                    <m:t>o</m:t>
                  </m:r>
                  <m:r>
                    <m:t>o</m:t>
                  </m:r>
                  <m:r>
                    <m:t>n</m:t>
                  </m:r>
                </m:sup>
              </m:sSubSup>
            </m:den>
          </m:f>
        </m:oMath>
      </m:oMathPara>
    </w:p>
    <w:p>
      <w:pPr>
        <w:pStyle w:val="FirstParagraph"/>
      </w:pPr>
      <w:r>
        <w:t xml:space="preserve">where B is loan balance and q indexes maturity quarters. An even ladder over 20 quarters gives C = 0.05; a single-quarter wall gives C = 1.0.</w:t>
      </w:r>
    </w:p>
    <w:bookmarkEnd w:id="27"/>
    <w:bookmarkStart w:id="28" w:name="building-the-table"/>
    <w:p>
      <w:pPr>
        <w:pStyle w:val="Heading3"/>
      </w:pPr>
      <w:r>
        <w:t xml:space="preserve">Building the table</w:t>
      </w:r>
    </w:p>
    <w:p>
      <w:pPr>
        <w:numPr>
          <w:ilvl w:val="0"/>
          <w:numId w:val="1005"/>
        </w:numPr>
        <w:pStyle w:val="Compact"/>
      </w:pPr>
      <w:r>
        <w:rPr>
          <w:bCs/>
          <w:b/>
        </w:rPr>
        <w:t xml:space="preserve">Partition on waterfall type first.</w:t>
      </w:r>
      <w:r>
        <w:t xml:space="preserve"> </w:t>
      </w:r>
      <w:r>
        <w:t xml:space="preserve">It changes the direction of the effect, so each waterfall type gets its own three-dimensional sub-table (concentration × WAL × advance rate).</w:t>
      </w:r>
    </w:p>
    <w:p>
      <w:pPr>
        <w:numPr>
          <w:ilvl w:val="0"/>
          <w:numId w:val="1005"/>
        </w:numPr>
        <w:pStyle w:val="Compact"/>
      </w:pPr>
      <w:r>
        <w:rPr>
          <w:bCs/>
          <w:b/>
        </w:rPr>
        <w:t xml:space="preserve">Each cell holds a notch adjustment</w:t>
      </w:r>
      <w:r>
        <w:t xml:space="preserve">, positive or negative: the median difference between the Approach 2 run-down rating and the Approach 1 rating for deals in that cell.</w:t>
      </w:r>
    </w:p>
    <w:p>
      <w:pPr>
        <w:numPr>
          <w:ilvl w:val="0"/>
          <w:numId w:val="1005"/>
        </w:numPr>
        <w:pStyle w:val="Compact"/>
      </w:pPr>
      <w:r>
        <w:rPr>
          <w:bCs/>
          <w:b/>
        </w:rPr>
        <w:t xml:space="preserve">Fill sparse cells with synthetic deals.</w:t>
      </w:r>
      <w:r>
        <w:t xml:space="preserve"> </w:t>
      </w:r>
      <w:r>
        <w:t xml:space="preserve">A full grid is 3 × 3 × 3 × 3 = 81 cells, more than the historical sample will populate. Since Approach 2 can run on any pool, construct synthetic deals from historical loan characteristics to cover the grid, using historical deals to validate rather than solely to calibrate.</w:t>
      </w:r>
    </w:p>
    <w:p>
      <w:pPr>
        <w:numPr>
          <w:ilvl w:val="0"/>
          <w:numId w:val="1005"/>
        </w:numPr>
        <w:pStyle w:val="Compact"/>
      </w:pPr>
      <w:r>
        <w:rPr>
          <w:bCs/>
          <w:b/>
        </w:rPr>
        <w:t xml:space="preserve">Smooth across cells.</w:t>
      </w:r>
      <w:r>
        <w:t xml:space="preserve"> </w:t>
      </w:r>
      <w:r>
        <w:t xml:space="preserve">Fit a simple surface (for example, a regression of notch difference on the three numeric dimensions with interactions, per waterfall type) and publish the table from it, so neighboring cells don’t jump arbitrarily.</w:t>
      </w:r>
    </w:p>
    <w:p>
      <w:pPr>
        <w:numPr>
          <w:ilvl w:val="0"/>
          <w:numId w:val="1005"/>
        </w:numPr>
        <w:pStyle w:val="Compact"/>
      </w:pPr>
      <w:r>
        <w:rPr>
          <w:bCs/>
          <w:b/>
        </w:rPr>
        <w:t xml:space="preserve">Cap the adjustment</w:t>
      </w:r>
      <w:r>
        <w:t xml:space="preserve"> </w:t>
      </w:r>
      <w:r>
        <w:t xml:space="preserve">at a set number of notches. Anything beyond the cap is a signal to rate the deal with Approach 2 directly.</w:t>
      </w:r>
    </w:p>
    <w:p>
      <w:pPr>
        <w:pStyle w:val="FirstParagraph"/>
      </w:pPr>
      <w:r>
        <w:t xml:space="preserve">Bucket boundaries above are illustrative; set them from the distribution of the historical and synthetic deals.</w:t>
      </w:r>
    </w:p>
    <w:bookmarkEnd w:id="28"/>
    <w:bookmarkEnd w:id="29"/>
    <w:bookmarkStart w:id="30" w:name="X2023c426b3b03cf6bd41aca736bfa10ecf9223b"/>
    <w:p>
      <w:pPr>
        <w:pStyle w:val="Heading2"/>
      </w:pPr>
      <w:r>
        <w:t xml:space="preserve">Governance, limitations and recommendation</w:t>
      </w:r>
    </w:p>
    <w:p>
      <w:pPr>
        <w:pStyle w:val="FirstParagraph"/>
      </w:pPr>
      <w:r>
        <w:rPr>
          <w:bCs/>
          <w:b/>
        </w:rPr>
        <w:t xml:space="preserve">Expected challenges.</w:t>
      </w:r>
    </w:p>
    <w:p>
      <w:pPr>
        <w:numPr>
          <w:ilvl w:val="0"/>
          <w:numId w:val="1006"/>
        </w:numPr>
        <w:pStyle w:val="Compact"/>
      </w:pPr>
      <w:r>
        <w:rPr>
          <w:bCs/>
          <w:b/>
        </w:rPr>
        <w:t xml:space="preserve">“</w:t>
      </w:r>
      <w:r>
        <w:rPr>
          <w:bCs/>
          <w:b/>
        </w:rPr>
        <w:t xml:space="preserve">Qualitative</w:t>
      </w:r>
      <w:r>
        <w:rPr>
          <w:bCs/>
          <w:b/>
        </w:rPr>
        <w:t xml:space="preserve">”</w:t>
      </w:r>
      <w:r>
        <w:rPr>
          <w:bCs/>
          <w:b/>
        </w:rPr>
        <w:t xml:space="preserve"> </w:t>
      </w:r>
      <w:r>
        <w:rPr>
          <w:bCs/>
          <w:b/>
        </w:rPr>
        <w:t xml:space="preserve">will be questioned.</w:t>
      </w:r>
      <w:r>
        <w:t xml:space="preserve"> </w:t>
      </w:r>
      <w:r>
        <w:t xml:space="preserve">A factor derived mechanically from simulation is a model output. It needs documentation, inventory and validation like any model component.</w:t>
      </w:r>
    </w:p>
    <w:p>
      <w:pPr>
        <w:numPr>
          <w:ilvl w:val="0"/>
          <w:numId w:val="1006"/>
        </w:numPr>
        <w:pStyle w:val="Compact"/>
      </w:pPr>
      <w:r>
        <w:rPr>
          <w:bCs/>
          <w:b/>
        </w:rPr>
        <w:t xml:space="preserve">“</w:t>
      </w:r>
      <w:r>
        <w:rPr>
          <w:bCs/>
          <w:b/>
        </w:rPr>
        <w:t xml:space="preserve">Why not use Approach 2 directly?</w:t>
      </w:r>
      <w:r>
        <w:rPr>
          <w:bCs/>
          <w:b/>
        </w:rPr>
        <w:t xml:space="preserve">”</w:t>
      </w:r>
      <w:r>
        <w:t xml:space="preserve"> </w:t>
      </w:r>
      <w:r>
        <w:t xml:space="preserve">If Approach 2 can run on every historical deal, it can run on a new one. The answer to prepare: Approach 1 remains the rating model of record for simplicity and comparability, and the table is a governed, bounded bridge.</w:t>
      </w:r>
    </w:p>
    <w:p>
      <w:pPr>
        <w:numPr>
          <w:ilvl w:val="0"/>
          <w:numId w:val="1006"/>
        </w:numPr>
        <w:pStyle w:val="Compact"/>
      </w:pPr>
      <w:r>
        <w:rPr>
          <w:bCs/>
          <w:b/>
        </w:rPr>
        <w:t xml:space="preserve">Persistent overlays signal a mis-specified baseline.</w:t>
      </w:r>
      <w:r>
        <w:t xml:space="preserve"> </w:t>
      </w:r>
      <w:r>
        <w:t xml:space="preserve">Overlays are meant for what lies outside the model, not for known deficiencies.</w:t>
      </w:r>
    </w:p>
    <w:p>
      <w:pPr>
        <w:pStyle w:val="FirstParagraph"/>
      </w:pPr>
      <w:r>
        <w:rPr>
          <w:bCs/>
          <w:b/>
        </w:rPr>
        <w:t xml:space="preserve">Guardrails.</w:t>
      </w:r>
    </w:p>
    <w:p>
      <w:pPr>
        <w:numPr>
          <w:ilvl w:val="0"/>
          <w:numId w:val="1007"/>
        </w:numPr>
        <w:pStyle w:val="Compact"/>
      </w:pPr>
      <w:r>
        <w:t xml:space="preserve">☐ Document the thought experiment as the discriminatory-power test that motivates the Q-factor</w:t>
      </w:r>
    </w:p>
    <w:p>
      <w:pPr>
        <w:numPr>
          <w:ilvl w:val="0"/>
          <w:numId w:val="1007"/>
        </w:numPr>
        <w:pStyle w:val="Compact"/>
      </w:pPr>
      <w:r>
        <w:t xml:space="preserve">☐ Fix the comparison metric, buckets, cap and smoothing method before calibration</w:t>
      </w:r>
    </w:p>
    <w:p>
      <w:pPr>
        <w:numPr>
          <w:ilvl w:val="0"/>
          <w:numId w:val="1007"/>
        </w:numPr>
        <w:pStyle w:val="Compact"/>
      </w:pPr>
      <w:r>
        <w:t xml:space="preserve">☐ Monitor the share of deals with a material adjustment each quarter</w:t>
      </w:r>
    </w:p>
    <w:p>
      <w:pPr>
        <w:numPr>
          <w:ilvl w:val="0"/>
          <w:numId w:val="1007"/>
        </w:numPr>
        <w:pStyle w:val="Compact"/>
      </w:pPr>
      <w:r>
        <w:t xml:space="preserve">☐ Set a promotion trigger: if adjustments exceed an agreed threshold for an agreed number of consecutive quarters, Approach 2 becomes the rating model of record</w:t>
      </w:r>
    </w:p>
    <w:p>
      <w:pPr>
        <w:pStyle w:val="FirstParagraph"/>
      </w:pPr>
      <w:r>
        <w:rPr>
          <w:bCs/>
          <w:b/>
        </w:rPr>
        <w:t xml:space="preserve">Recommendation.</w:t>
      </w:r>
      <w:r>
        <w:t xml:space="preserve"> </w:t>
      </w:r>
      <w:r>
        <w:t xml:space="preserve">For risk rating, Approach 1 with the four-dimensional Q-factor table is acceptable under the conditions above. For CECL and loss forecasting, use Approach 2, with the macro scenario applied to a persistent systematic factor. Longer term, the cleaner design is a single Approach 2 engine for both: annualize at the tranche level for the rating (after the nonlinearity), keep Approach 1 as a benchmark, and retire the mapping table.</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2026-10-23T01:56:02Z</dcterms:created>
  <dcterms:modified xsi:type="dcterms:W3CDTF">2026-10-23T01:56:02Z</dcterms:modified>
</cp:coreProperties>
</file>

<file path=docProps/custom.xml><?xml version="1.0" encoding="utf-8"?>
<Properties xmlns="http://schemas.openxmlformats.org/officeDocument/2006/custom-properties" xmlns:vt="http://schemas.openxmlformats.org/officeDocument/2006/docPropsVTypes"/>
</file>