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INTERSPEECH 2023</w:t>
      </w:r>
      <w:r>
        <w:t xml:space="preserve"> </w:t>
      </w:r>
      <w:r>
        <w:t xml:space="preserve">2023年8月20日至24日，爱尔兰都柏林</w:t>
      </w:r>
    </w:p>
    <w:p>
      <w:pPr>
        <w:pStyle w:val="Heading1"/>
      </w:pPr>
      <w:bookmarkStart w:id="20" w:name="funasr一个基础的端到端语音识别工具包"/>
      <w:r>
        <w:t xml:space="preserve">FunASR：一个基础的端到端语音识别工具包</w:t>
      </w:r>
      <w:bookmarkEnd w:id="20"/>
    </w:p>
    <w:p>
      <w:pPr>
        <w:pStyle w:val="FirstParagraph"/>
      </w:pPr>
      <w:r>
        <w:t xml:space="preserve">Zhifu Gao, Zerui Li, Jiaming Wang, Haoneng Luo, Xian Shi, Mengzhe Chen, Yabin Li, Lingyun Zuo, Zhihao Du, Shiliang Zhang</w:t>
      </w:r>
    </w:p>
    <w:p>
      <w:pPr>
        <w:pStyle w:val="BodyText"/>
      </w:pPr>
      <w:r>
        <w:t xml:space="preserve">阿里巴巴集团达摩院语音实验室，中国</w:t>
      </w:r>
      <w:r>
        <w:br/>
      </w:r>
      <w:r>
        <w:t xml:space="preserve">{zhifu.gzf, lzr25946, wangjiaming.wjm, haoneng.lhn, shixian.shi, mengzhe.cmz, wucong.lyb, ailsa.zly, neo.dzh, sly.zsl}</w:t>
      </w:r>
      <w:r>
        <w:t xml:space="preserve">@alibaba-inc.com</w:t>
      </w:r>
    </w:p>
    <w:p>
      <w:r>
        <w:pict>
          <v:rect style="width:0;height:1.5pt" o:hralign="center" o:hrstd="t" o:hr="t"/>
        </w:pict>
      </w:r>
    </w:p>
    <w:p>
      <w:pPr>
        <w:pStyle w:val="FirstParagraph"/>
      </w:pPr>
      <w:r>
        <w:rPr>
          <w:b/>
        </w:rPr>
        <w:t xml:space="preserve">摘要</w:t>
      </w:r>
    </w:p>
    <w:p>
      <w:pPr>
        <w:pStyle w:val="BodyText"/>
      </w:pPr>
      <w:r>
        <w:t xml:space="preserve">本文介绍了FunASR，这是一款开源语音识别工具包，旨在弥合学术研究与工业应用之间的差距。FunASR提供了基于大规模工业语料库训练的模型，并支持将其部署于各类应用中。该工具包的旗舰模型Paraformer是一种非自回归端到端语音识别模型，已在包含6万小时语音的人工标注普通话语音识别数据集上完成训练。为提升Paraformer的性能，我们在标准Paraformer基础上新增了时间戳预测以及热词定制功能。此外，为了便于模型部署，我们还开源了基于前馈顺序记忆网络（FSMN-VAD）的语音活动检测模型，以及基于可控时延Transformer（CT-Transformer）的文本后处理标点模型，两者均在工业语料库上进行了训练。这些功能模块为构建高精度长音频语音识别服务奠定了坚实的基础。与其他基于开放数据集训练的模型相比，Paraformer展现出了更优异的性能。</w:t>
      </w:r>
      <w:r>
        <w:br/>
      </w:r>
      <w:r>
        <w:rPr>
          <w:b/>
        </w:rPr>
        <w:t xml:space="preserve">索引词：</w:t>
      </w:r>
      <w:r>
        <w:t xml:space="preserve">FunASR、Paraformer、语音识别、FSMN-VAD、CT-Transformer</w:t>
      </w:r>
    </w:p>
    <w:p>
      <w:r>
        <w:pict>
          <v:rect style="width:0;height:1.5pt" o:hralign="center" o:hrstd="t" o:hr="t"/>
        </w:pict>
      </w:r>
    </w:p>
    <w:p>
      <w:pPr>
        <w:pStyle w:val="Heading2"/>
      </w:pPr>
      <w:bookmarkStart w:id="21" w:name="引言"/>
      <w:r>
        <w:t xml:space="preserve">1. 引言</w:t>
      </w:r>
      <w:bookmarkEnd w:id="21"/>
    </w:p>
    <w:p>
      <w:pPr>
        <w:pStyle w:val="FirstParagraph"/>
      </w:pPr>
      <w:r>
        <w:t xml:space="preserve">在过去的几年里，端到端（E2E）模型在自动语音识别（ASR）任务中的性能已经超过了传统的混合系统。目前流行的三种E2E方法为：连接时序分类（CTC）[1]，循环神经网络传输器（RNN-T）[2]，以及基于注意力的编码器-解码器（AED）[3, 4]在这些模型中，AED模型因其卓越的识别准确率，一直主导着面向ASR的seq2seq建模。[4-13]开源工具包，包括ESPNET[14], WeNet[15]，PaddleSpeech[16]和 K2[17]et al.，已经被开发出来以促进端到端语音识别的研究。这些开源工具在降低构建端到端语音识别系统的难度方面发挥了巨大作用。</w:t>
      </w:r>
    </w:p>
    <w:p>
      <w:pPr>
        <w:pStyle w:val="BodyText"/>
      </w:pPr>
      <w:r>
        <w:t xml:space="preserve">在本研究中，我们介绍了FunASR，这是一款旨在弥合学术研究与工业应用之间差距的新型开源语音识别工具包。FunASR基于以往研究成果，提供了若干独特功能：</w:t>
      </w:r>
    </w:p>
    <w:p>
      <w:pPr>
        <w:numPr>
          <w:ilvl w:val="0"/>
          <w:numId w:val="1001"/>
        </w:numPr>
        <w:pStyle w:val="Compact"/>
      </w:pPr>
      <w:r>
        <w:rPr>
          <w:b/>
        </w:rPr>
        <w:t xml:space="preserve">Modelscope:</w:t>
      </w:r>
      <w:r>
        <w:t xml:space="preserve">FunASR基于行业数据提供了全面的预训练模型。其旗舰模型Paraformer[18]，是一种非自回归端到端语音识别模型，在一个包含6万小时语音的手工标注普通话语音识别数据集上进行了训练。与Conformer相比[5]和RNN-T[2]由主流开源框架支持，Paraformer在效率更高的同时提供了可比拟的性能。</w:t>
      </w:r>
    </w:p>
    <w:p>
      <w:pPr>
        <w:numPr>
          <w:ilvl w:val="0"/>
          <w:numId w:val="1001"/>
        </w:numPr>
        <w:pStyle w:val="Compact"/>
      </w:pPr>
      <w:r>
        <w:rPr>
          <w:b/>
        </w:rPr>
        <w:t xml:space="preserve">训练与微调：</w:t>
      </w:r>
      <w:r>
        <w:t xml:space="preserve">FunASR 是一个综合工具包，提供了一系列示例配方，可以从零开始训练端到端语音识别模型，包括用于像 AISHELL1 这样的数据集的 Transformer、Conformer 和 Paraformer 模型。[19, 20]，Wenetspeech[21]和LibriSpeech[22]此外，FunASR 提供了一个方便的微调脚本，使用户能够在少量领域数据上，快速对从 ModelScope 获得的预训练模型进行微调，从而获得高性能的识别模型。此功能对于那些可能无法获得足够数据和计算资源以从头训练模型的学术研究人员和开发者来说尤其有利。</w:t>
      </w:r>
    </w:p>
    <w:p>
      <w:pPr>
        <w:numPr>
          <w:ilvl w:val="0"/>
          <w:numId w:val="1001"/>
        </w:numPr>
        <w:pStyle w:val="Compact"/>
      </w:pPr>
      <w:r>
        <w:rPr>
          <w:b/>
        </w:rPr>
        <w:t xml:space="preserve">语音识别服务：</w:t>
      </w:r>
      <w:r>
        <w:t xml:space="preserve">FunASR 使用户能够构建可以部署到实际应用中的语音识别服务。为了便于模型部署，我们发布了一个基于前馈序列记忆网络（FSMN-VAD）的语音活动检测模型。[23]以及基于可控时延Transformer（CT-Transformer）进行文本后处理标点的模型[24]两者均在工业语料库上进行了训练。为提升Paraformer的性能，我们在标准Paraformer主干上添加了时间戳预测和热词自定义功能。此外，FunASR还包含一个推理引擎，通过ONNX、libtorch和TensorRT支持CPU和GPU推理。这些功能模块简化了使用FunASR构建高精度长音频语音识别服务的流程。</w:t>
      </w:r>
    </w:p>
    <w:p>
      <w:pPr>
        <w:pStyle w:val="FirstParagraph"/>
      </w:pPr>
      <w:r>
        <w:t xml:space="preserve">总体而言，FunASR 是一个强大的语音识别工具包，提供了其他开源工具中没有的独特功能。我们相信，我们的贡献将有助于进一步推动语音识别领域的发展，使更多的研究人员和开发者能够将这些技术应用于实际场景。需要指出的是，由于篇幅限制，本文主要报告了在普通话语料库上的实验。事实上，FunASR 支持多种类型的语言，包括英语、法语、德语、西班牙语、俄语、日语、韩语等（更多详情可参见模型库）。</w:t>
      </w:r>
    </w:p>
    <w:p>
      <w:pPr>
        <w:pStyle w:val="BodyText"/>
      </w:pPr>
      <w:hyperlink r:id="rId22">
        <w:r>
          <w:rPr>
            <w:rStyle w:val="Hyperlink"/>
          </w:rPr>
          <w:t xml:space="preserve">Figure 1: Overview of FunASR design</w:t>
        </w:r>
      </w:hyperlink>
    </w:p>
    <w:p>
      <w:pPr>
        <w:pStyle w:val="BodyText"/>
      </w:pPr>
      <w:r>
        <w:t xml:space="preserve">https://github.com/alibaba-damo-academy/FunASR</w:t>
      </w:r>
    </w:p>
    <w:p>
      <w:pPr>
        <w:pStyle w:val="BodyText"/>
      </w:pPr>
      <w:r>
        <w:t xml:space="preserve">1593 10.21437/Interspeech.2023-1428</w:t>
      </w:r>
    </w:p>
    <w:p>
      <w:pPr>
        <w:pStyle w:val="Heading2"/>
      </w:pPr>
      <w:bookmarkStart w:id="23" w:name="funasr-概述"/>
      <w:r>
        <w:t xml:space="preserve">2. FunASR 概述</w:t>
      </w:r>
      <w:bookmarkEnd w:id="23"/>
    </w:p>
    <w:p>
      <w:pPr>
        <w:pStyle w:val="FirstParagraph"/>
      </w:pPr>
      <w:r>
        <w:t xml:space="preserve">FunASR 的整体框架如图1所示。ModelScope 管理 FunASR 中使用的模型，并托管了关键模型，如 Paraformer、FSMN-VAD 和 CT-Transformer。</w:t>
      </w:r>
    </w:p>
    <w:p>
      <w:pPr>
        <w:pStyle w:val="BodyText"/>
      </w:pPr>
      <w:r>
        <w:t xml:space="preserve">FunASR 的用户可以轻松使用其基于 Pytorch 的流水线进行实验，这些流水线分为学术流水线和工业流水线。学术流水线用 表示</w:t>
      </w:r>
      <w:r>
        <w:rPr>
          <w:rStyle w:val="VerbatimChar"/>
        </w:rPr>
        <w:t xml:space="preserve">run.sh</w:t>
      </w:r>
      <w:r>
        <w:t xml:space="preserve">，使用户能够从零开始训练模型。</w:t>
      </w:r>
      <w:r>
        <w:rPr>
          <w:rStyle w:val="VerbatimChar"/>
        </w:rPr>
        <w:t xml:space="preserve">run.sh</w:t>
      </w:r>
      <w:r>
        <w:t xml:space="preserve">脚本遵循ESPNET的recipe风格，并包括数据准备（stage 0）、特征提取（stage 1）、字典生成（stage 2）、模型训练（stage 3和4）、以及模型推理与评分（stage 5）等阶段。相比之下，工业流程提供了两个独立的脚本：</w:t>
      </w:r>
      <w:r>
        <w:rPr>
          <w:rStyle w:val="VerbatimChar"/>
        </w:rPr>
        <w:t xml:space="preserve">infer.sh</w:t>
      </w:r>
      <w:r>
        <w:t xml:space="preserve">用于推理和</w:t>
      </w:r>
      <w:r>
        <w:rPr>
          <w:rStyle w:val="VerbatimChar"/>
        </w:rPr>
        <w:t xml:space="preserve">finetune.sh</w:t>
      </w:r>
      <w:r>
        <w:t xml:space="preserve">用于微调。这些流程非常易于使用，用户只需指定模型名称和数据集。</w:t>
      </w:r>
    </w:p>
    <w:p>
      <w:pPr>
        <w:pStyle w:val="BodyText"/>
      </w:pPr>
      <w:r>
        <w:t xml:space="preserve">FunASR 还提供了易于使用的运行时，用于在应用程序中部署模型。为了支持 CPU、GPU、Android 和 iOS 等各种硬件平台，我们提供了包括 Libtorch、ONNX 和 TensorRT 在内的不同运行时后端。此外，我们还利用了 AMP 量化。[25]以加速推理运行时并确保最佳性能。有了这些功能，FunASR 让在各种应用中部署和使用语音识别模型变得轻而易举。</w:t>
      </w:r>
    </w:p>
    <w:p>
      <w:pPr>
        <w:pStyle w:val="Heading2"/>
      </w:pPr>
      <w:bookmarkStart w:id="24" w:name="funasr的主要模块"/>
      <w:r>
        <w:t xml:space="preserve">FunASR的主要模块</w:t>
      </w:r>
      <w:bookmarkEnd w:id="24"/>
    </w:p>
    <w:p>
      <w:pPr>
        <w:pStyle w:val="Heading3"/>
      </w:pPr>
      <w:bookmarkStart w:id="25" w:name="paraformer"/>
      <w:r>
        <w:t xml:space="preserve">3.1. Paraformer</w:t>
      </w:r>
      <w:bookmarkEnd w:id="25"/>
    </w:p>
    <w:p>
      <w:pPr>
        <w:pStyle w:val="FirstParagraph"/>
      </w:pPr>
      <w:r>
        <w:t xml:space="preserve">首先，让我们对Paraformer做一个简要概述。[18], 我们之前提出的模型，如图2(a)所示。Paraformer是一个单步非自回归（NAR）模型，引入了基于glancing语言模型的采样模块，以增强NAR解码器捕捉token间依赖性的能力。</w:t>
      </w:r>
    </w:p>
    <w:p>
      <w:pPr>
        <w:pStyle w:val="BodyText"/>
      </w:pPr>
      <w:r>
        <w:t xml:space="preserve">Paraformer由两个核心模块组成：预测器和采样器。预测器模块用于生成声学嵌入，以捕获输入语音信号中的信息。在训练过程中，采样器模块通过将目标嵌入随机替换到声学嵌入中，从而生成语义嵌入。这种方法使模型能够捕捉不同标记之间的相互依赖关系，并提升模型的整体表现。然而，在推理过程中，采样器模块不激活，声学嵌入仅通过一次传递用于输出最终预测。这种方法保证了更快的推理速度和更低的延迟。</w:t>
      </w:r>
    </w:p>
    <w:p>
      <w:pPr>
        <w:pStyle w:val="BodyText"/>
      </w:pPr>
      <w:r>
        <w:t xml:space="preserve">为了进一步提升Paraformer的性能，本文提出了包括时间戳预测和热词定制在内的改进。此外，所使用的损失函数在[18]已通过移除MWER损失进行了更新，因为发现MWER损失对性能提升贡献较小。现在在第一遍解码器中使用了额外的CE损失，以减少训练和推断之间的差异。下一小节将提供详细解释。</w:t>
      </w:r>
    </w:p>
    <w:p>
      <w:pPr>
        <w:pStyle w:val="Heading3"/>
      </w:pPr>
      <w:bookmarkStart w:id="26" w:name="时间戳预测器"/>
      <w:r>
        <w:t xml:space="preserve">3.2. 时间戳预测器</w:t>
      </w:r>
      <w:bookmarkEnd w:id="26"/>
    </w:p>
    <w:p>
      <w:pPr>
        <w:pStyle w:val="FirstParagraph"/>
      </w:pPr>
      <w:r>
        <w:t xml:space="preserve">准确的时间戳预测是ASR系统的关键功能。然而，传统的工业ASR系统通常需要一个额外的混合模型来执行强制对齐（FA）以进行时间戳预测（TP），这会导致计算和时间成本的增加。FunASR 提供了一种端到端的ASR模型，通过重新设计Paraformer预测器的结构，实现了准确的时间戳预测，如图2(b)所示。我们引入了转置卷积层和LSTM层来对编码器输出进行上采样，并通过对CIF的后处理来生成时间戳。[26]权重</w:t>
      </w:r>
      <m:oMath>
        <m:r>
          <m:t>ω</m:t>
        </m:r>
      </m:oMath>
      <w:r>
        <w:t xml:space="preserve">。我们将两个fireplace之间的帧视为token的持续时间，并根据</w:t>
      </w:r>
      <m:oMath>
        <m:sSub>
          <m:e>
            <m:r>
              <m:t>σ</m:t>
            </m:r>
          </m:e>
          <m:sub>
            <m:r>
              <m:t>2</m:t>
            </m:r>
          </m:sub>
        </m:sSub>
      </m:oMath>
      <w:r>
        <w:t xml:space="preserve">标记出静音部分。此外，FunASR还发布了一个类似force-aligner的模型，名为TP-Aligner，其中包含更小尺寸的encoder和一个timestamp predictor。它以语音和相应转录为输入来生成时间戳。</w:t>
      </w:r>
    </w:p>
    <w:tbl>
      <w:tblPr>
        <w:tblStyle w:val="Table"/>
        <w:tblW w:type="pct" w:w="0.0"/>
        <w:tblLook w:firstRow="1"/>
      </w:tblPr>
      <w:tblGrid/>
      <w:tr>
        <w:trPr>
          <w:cnfStyle w:firstRow="1"/>
        </w:trPr>
        <w:tc>
          <w:tcPr>
            <w:tcBorders>
              <w:bottom w:val="single"/>
            </w:tcBorders>
            <w:vAlign w:val="bottom"/>
          </w:tcPr>
          <w:p>
            <w:pPr>
              <w:pStyle w:val="Compact"/>
              <w:jc w:val="left"/>
            </w:pPr>
            <w:r>
              <w:t xml:space="preserve">表1：时间戳预测评估。</w:t>
            </w:r>
          </w:p>
        </w:tc>
      </w:tr>
      <w:tr>
        <w:tc>
          <w:p>
            <w:pPr>
              <w:pStyle w:val="Compact"/>
              <w:jc w:val="left"/>
            </w:pPr>
            <w:r>
              <w:t xml:space="preserve">数据</w:t>
            </w:r>
          </w:p>
        </w:tc>
      </w:tr>
      <w:tr>
        <w:tc>
          <w:p>
            <w:pPr>
              <w:pStyle w:val="Compact"/>
              <w:jc w:val="left"/>
            </w:pPr>
            <w:r>
              <w:t xml:space="preserve">————</w:t>
            </w:r>
          </w:p>
        </w:tc>
      </w:tr>
      <w:tr>
        <w:tc>
          <w:p>
            <w:pPr>
              <w:pStyle w:val="Compact"/>
              <w:jc w:val="left"/>
            </w:pPr>
            <w:r>
              <w:t xml:space="preserve">AISHELL</w:t>
            </w:r>
          </w:p>
        </w:tc>
      </w:tr>
      <w:tr>
        <w:tc>
          <w:p/>
        </w:tc>
      </w:tr>
      <w:tr>
        <w:tc>
          <w:p>
            <w:pPr>
              <w:pStyle w:val="Compact"/>
              <w:jc w:val="left"/>
            </w:pPr>
            <w:r>
              <w:t xml:space="preserve">工业</w:t>
            </w:r>
          </w:p>
        </w:tc>
      </w:tr>
      <w:tr>
        <w:tc>
          <w:p>
            <w:pPr>
              <w:pStyle w:val="Compact"/>
              <w:jc w:val="left"/>
            </w:pPr>
            <w:r>
              <w:t xml:space="preserve">数据</w:t>
            </w:r>
          </w:p>
        </w:tc>
      </w:tr>
      <w:tr>
        <w:tc>
          <w:p/>
        </w:tc>
      </w:tr>
    </w:tbl>
    <w:p>
      <w:pPr>
        <w:pStyle w:val="BodyText"/>
      </w:pPr>
      <w:r>
        <w:t xml:space="preserve">我们在AISHELL和60,000小时的工业数据上进行了实验，以评估时间戳预测的质量。用于衡量时间戳质量的评估指标是累积平均偏移量（AAS）。[27]我们使用了一个包含5,549条话语且带有人工标记时间戳的测试集，用于对比所提供模型的时间戳预测性能与使用Kaldi训练的FA系统。[28]结果显示，Paraformer-TP在AISHELL上的表现优于FA系统。在实际应用实验中，我们发现所提出的时间戳预测方法在时间戳精度方面与混合FA系统相当（差距小于10毫秒）。此外，单次传递的解决方案对于商业用途具有重要价值，因为它有助于减少计算和时间开销。</w:t>
      </w:r>
    </w:p>
    <w:p>
      <w:pPr>
        <w:pStyle w:val="Heading3"/>
      </w:pPr>
      <w:bookmarkStart w:id="27" w:name="热词自定义"/>
      <w:r>
        <w:t xml:space="preserve">3.3. 热词自定义</w:t>
      </w:r>
      <w:bookmarkEnd w:id="27"/>
    </w:p>
    <w:p>
      <w:pPr>
        <w:pStyle w:val="FirstParagraph"/>
      </w:pPr>
      <w:r>
        <w:t xml:space="preserve">Contextual Paraformer 提供了通过利用命名实体自定义热词的能力，这增强了激励机制并提升了召回率和准确率。在基本的 Paraformer 模型基础上增加了两个额外的模块——热词嵌入器和在解码器最后一层的多头注意力机制，如图2(c)所示。</w:t>
      </w:r>
    </w:p>
    <w:p>
      <w:pPr>
        <w:pStyle w:val="BodyText"/>
      </w:pPr>
      <w:r>
        <w:t xml:space="preserve">我们将hotwords，表示为</w:t>
      </w:r>
      <w:r>
        <w:t xml:space="preserve"> </w:t>
      </w:r>
      <m:oMath>
        <m:r>
          <m:t>w</m:t>
        </m:r>
        <m:r>
          <m:t>=</m:t>
        </m:r>
        <m:sSub>
          <m:e>
            <m:r>
              <m:t>w</m:t>
            </m:r>
          </m:e>
          <m:sub>
            <m:r>
              <m:t>1</m:t>
            </m:r>
          </m:sub>
        </m:sSub>
        <m:r>
          <m:t>,</m:t>
        </m:r>
        <m:r>
          <m:t>.</m:t>
        </m:r>
        <m:r>
          <m:t>.</m:t>
        </m:r>
        <m:r>
          <m:t>.</m:t>
        </m:r>
        <m:r>
          <m:t>,</m:t>
        </m:r>
        <m:sSub>
          <m:e>
            <m:r>
              <m:t>w</m:t>
            </m:r>
          </m:e>
          <m:sub>
            <m:r>
              <m:t>n</m:t>
            </m:r>
          </m:sub>
        </m:sSub>
      </m:oMath>
      <w:r>
        <w:t xml:space="preserve">，作为输入到我们的hotword embedder。[29]热词嵌入器由一个嵌入层和LSTM层组成，以上下文热词作为输入，并利用LSTM的最后一个状态生成一个嵌入，记为</w:t>
      </w:r>
      <m:oMath>
        <m:sSub>
          <m:e>
            <m:r>
              <m:t>E</m:t>
            </m:r>
          </m:e>
          <m:sub>
            <m:r>
              <m:t>h</m:t>
            </m:r>
          </m:sub>
        </m:sSub>
      </m:oMath>
      <w:r>
        <w:t xml:space="preserve">。具体来说，热词首先被送入热词嵌入器，产生一系列隐藏状态。然后我们使用最后一个隐藏状态作为热词的嵌入，从而捕获输入序列的上下文信息。</w:t>
      </w:r>
    </w:p>
    <w:p>
      <w:pPr>
        <w:pStyle w:val="BodyText"/>
      </w:pPr>
      <w:r>
        <w:t xml:space="preserve">为了捕捉热词嵌入</w:t>
      </w:r>
      <w:r>
        <w:t xml:space="preserve"> </w:t>
      </w:r>
      <m:oMath>
        <m:sSub>
          <m:e>
            <m:r>
              <m:t>E</m:t>
            </m:r>
          </m:e>
          <m:sub>
            <m:r>
              <m:t>h</m:t>
            </m:r>
          </m:sub>
        </m:sSub>
      </m:oMath>
      <w:r>
        <w:t xml:space="preserve"> </w:t>
      </w:r>
      <w:r>
        <w:t xml:space="preserve">与FSMN记忆块最后一层输出</w:t>
      </w:r>
      <w:r>
        <w:t xml:space="preserve"> </w:t>
      </w:r>
      <m:oMath>
        <m:sSub>
          <m:e>
            <m:r>
              <m:t>E</m:t>
            </m:r>
          </m:e>
          <m:sub>
            <m:r>
              <m:t>y</m:t>
            </m:r>
          </m:sub>
        </m:sSub>
        <m:r>
          <m:t>′</m:t>
        </m:r>
      </m:oMath>
      <w:r>
        <w:t xml:space="preserve"> </w:t>
      </w:r>
      <w:r>
        <w:t xml:space="preserve">之间的关系，我们采用了多头注意力模块。然后，我们将</w:t>
      </w:r>
      <w:r>
        <w:t xml:space="preserve"> </w:t>
      </w:r>
      <m:oMath>
        <m:sSub>
          <m:e>
            <m:r>
              <m:t>E</m:t>
            </m:r>
          </m:e>
          <m:sub>
            <m:r>
              <m:t>y</m:t>
            </m:r>
          </m:sub>
        </m:sSub>
        <m:r>
          <m:t>′</m:t>
        </m:r>
      </m:oMath>
      <w:r>
        <w:t xml:space="preserve"> </w:t>
      </w:r>
      <w:r>
        <w:t xml:space="preserve">与上下文注意力</w:t>
      </w:r>
      <w:r>
        <w:t xml:space="preserve"> </w:t>
      </w:r>
      <m:oMath>
        <m:sSub>
          <m:e>
            <m:r>
              <m:t>E</m:t>
            </m:r>
          </m:e>
          <m:sub>
            <m:r>
              <m:t>c</m:t>
            </m:r>
          </m:sub>
        </m:sSub>
      </m:oMath>
      <w:r>
        <w:t xml:space="preserve"> </w:t>
      </w:r>
      <w:r>
        <w:t xml:space="preserve">进行拼接。该操作在公式1中形式化表示：</w:t>
      </w:r>
    </w:p>
    <w:p>
      <w:pPr>
        <w:pStyle w:val="BodyText"/>
      </w:pPr>
      <w:r>
        <w:t xml:space="preserve">$$
E_c = MultiHeadAttention(E_y'，W^Q_y，E_h W^K_h，E_h W^V_h) \
E_y' = MultiHeadAttention(E_y, W^Q_y, HW_x, HW^K_y, HW^V_y) \\
O = ConV1d(E_y'; E_c)
$$</w:t>
      </w:r>
    </w:p>
    <w:p>
      <w:pPr>
        <w:pStyle w:val="FirstParagraph"/>
      </w:pPr>
      <w:r>
        <w:t xml:space="preserve">我们使用一维卷积层（ConV1d）来降低其维度，以匹配隐藏状态</w:t>
      </w:r>
      <m:oMath>
        <m:sSub>
          <m:e>
            <m:r>
              <m:t>E</m:t>
            </m:r>
          </m:e>
          <m:sub>
            <m:r>
              <m:t>y</m:t>
            </m:r>
          </m:sub>
        </m:sSub>
        <m:r>
          <m:t>′</m:t>
        </m:r>
      </m:oMath>
      <w:r>
        <w:t xml:space="preserve">的维度，该隐藏状态作为后续层的输入。值得注意的是，除了这一修改之外，我们的Contextual Paraformer的其他流程与标准Paraformer相同。</w:t>
      </w:r>
    </w:p>
    <w:p>
      <w:pPr>
        <w:pStyle w:val="BodyText"/>
      </w:pPr>
      <w:r>
        <w:rPr>
          <w:b/>
        </w:rPr>
        <w:t xml:space="preserve">表2：本定制化任务中使用的测试集。</w:t>
      </w:r>
    </w:p>
    <w:tbl>
      <w:tblPr>
        <w:tblStyle w:val="Table"/>
        <w:tblW w:type="pct" w:w="0.0"/>
        <w:tblLook w:firstRow="1"/>
      </w:tblPr>
      <w:tblGrid/>
      <w:tr>
        <w:trPr>
          <w:cnfStyle w:firstRow="1"/>
        </w:trPr>
        <w:tc>
          <w:tcPr>
            <w:tcBorders>
              <w:bottom w:val="single"/>
            </w:tcBorders>
            <w:vAlign w:val="bottom"/>
          </w:tcPr>
          <w:p>
            <w:pPr>
              <w:pStyle w:val="Compact"/>
              <w:jc w:val="left"/>
            </w:pPr>
            <w:r>
              <w:t xml:space="preserve">数据集</w:t>
            </w:r>
          </w:p>
        </w:tc>
        <w:tc>
          <w:tcPr>
            <w:tcBorders>
              <w:bottom w:val="single"/>
            </w:tcBorders>
            <w:vAlign w:val="bottom"/>
          </w:tcPr>
          <w:p>
            <w:pPr>
              <w:pStyle w:val="Compact"/>
              <w:jc w:val="left"/>
            </w:pPr>
            <w:r>
              <w:t xml:space="preserve">Uts</w:t>
            </w:r>
          </w:p>
        </w:tc>
        <w:tc>
          <w:tcPr>
            <w:tcBorders>
              <w:bottom w:val="single"/>
            </w:tcBorders>
            <w:vAlign w:val="bottom"/>
          </w:tcPr>
          <w:p>
            <w:pPr>
              <w:pStyle w:val="Compact"/>
              <w:jc w:val="left"/>
            </w:pPr>
            <w:r>
              <w:t xml:space="preserve">命名实体</w:t>
            </w:r>
          </w:p>
        </w:tc>
      </w:tr>
      <w:tr>
        <w:tc>
          <w:p>
            <w:pPr>
              <w:pStyle w:val="Compact"/>
              <w:jc w:val="left"/>
            </w:pPr>
            <w:r>
              <w:t xml:space="preserve">AI domain</w:t>
            </w:r>
          </w:p>
        </w:tc>
        <w:tc>
          <w:p>
            <w:pPr>
              <w:pStyle w:val="Compact"/>
              <w:jc w:val="left"/>
            </w:pPr>
            <w:r>
              <w:t xml:space="preserve">486</w:t>
            </w:r>
          </w:p>
        </w:tc>
        <w:tc>
          <w:p>
            <w:pPr>
              <w:pStyle w:val="Compact"/>
              <w:jc w:val="left"/>
            </w:pPr>
            <w:r>
              <w:t xml:space="preserve">204</w:t>
            </w:r>
          </w:p>
        </w:tc>
      </w:tr>
      <w:tr>
        <w:tc>
          <w:p>
            <w:pPr>
              <w:pStyle w:val="Compact"/>
              <w:jc w:val="left"/>
            </w:pPr>
            <w:r>
              <w:t xml:space="preserve">Common domain</w:t>
            </w:r>
          </w:p>
        </w:tc>
        <w:tc>
          <w:p>
            <w:pPr>
              <w:pStyle w:val="Compact"/>
              <w:jc w:val="left"/>
            </w:pPr>
            <w:r>
              <w:t xml:space="preserve">1308</w:t>
            </w:r>
          </w:p>
        </w:tc>
        <w:tc>
          <w:p>
            <w:pPr>
              <w:pStyle w:val="Compact"/>
              <w:jc w:val="left"/>
            </w:pPr>
            <w:r>
              <w:t xml:space="preserve">231</w:t>
            </w:r>
          </w:p>
        </w:tc>
      </w:tr>
    </w:tbl>
    <w:p>
      <w:pPr>
        <w:pStyle w:val="BodyText"/>
      </w:pPr>
      <w:r>
        <w:t xml:space="preserve">在训练过程中，热词会在每个训练批次中从目标中随机生成。至于推理，我们可以通过向模型提供命名实体列表来指定热词。</w:t>
      </w:r>
    </w:p>
    <w:p>
      <w:pPr>
        <w:pStyle w:val="BodyText"/>
      </w:pPr>
      <w:r>
        <w:rPr>
          <w:b/>
        </w:rPr>
        <w:t xml:space="preserve">表3：热词定制评估</w:t>
      </w:r>
    </w:p>
    <w:tbl>
      <w:tblPr>
        <w:tblStyle w:val="Table"/>
        <w:tblW w:type="pct" w:w="0.0"/>
        <w:tblLook w:firstRow="1"/>
      </w:tblPr>
      <w:tblGrid/>
      <w:tr>
        <w:trPr>
          <w:cnfStyle w:firstRow="1"/>
        </w:trPr>
        <w:tc>
          <w:tcPr>
            <w:tcBorders>
              <w:bottom w:val="single"/>
            </w:tcBorders>
            <w:vAlign w:val="bottom"/>
          </w:tcPr>
          <w:p>
            <w:pPr>
              <w:pStyle w:val="Compact"/>
              <w:jc w:val="left"/>
            </w:pPr>
            <w:r>
              <w:t xml:space="preserve">数据集</w:t>
            </w:r>
          </w:p>
        </w:tc>
        <w:tc>
          <w:tcPr>
            <w:tcBorders>
              <w:bottom w:val="single"/>
            </w:tcBorders>
            <w:vAlign w:val="bottom"/>
          </w:tcPr>
          <w:p>
            <w:pPr>
              <w:pStyle w:val="Compact"/>
              <w:jc w:val="left"/>
            </w:pPr>
            <w:r>
              <w:t xml:space="preserve">热词</w:t>
            </w:r>
          </w:p>
        </w:tc>
        <w:tc>
          <w:tcPr>
            <w:tcBorders>
              <w:bottom w:val="single"/>
            </w:tcBorders>
            <w:vAlign w:val="bottom"/>
          </w:tcPr>
          <w:p>
            <w:pPr>
              <w:pStyle w:val="Compact"/>
              <w:jc w:val="left"/>
            </w:pPr>
            <w:r>
              <w:t xml:space="preserve">CER</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F1</w:t>
            </w:r>
          </w:p>
        </w:tc>
      </w:tr>
      <w:tr>
        <w:tc>
          <w:p>
            <w:pPr>
              <w:pStyle w:val="Compact"/>
              <w:jc w:val="left"/>
            </w:pPr>
            <w:r>
              <w:t xml:space="preserve">AISHELL 热词子集</w:t>
            </w:r>
          </w:p>
        </w:tc>
        <w:tc>
          <w:p>
            <w:pPr>
              <w:pStyle w:val="Compact"/>
              <w:jc w:val="left"/>
            </w:pPr>
            <w:r>
              <w:t xml:space="preserve">w/o</w:t>
            </w:r>
          </w:p>
        </w:tc>
        <w:tc>
          <w:p>
            <w:pPr>
              <w:pStyle w:val="Compact"/>
              <w:jc w:val="left"/>
            </w:pPr>
            <w:r>
              <w:t xml:space="preserve">10.01</w:t>
            </w:r>
          </w:p>
        </w:tc>
        <w:tc>
          <w:p>
            <w:pPr>
              <w:pStyle w:val="Compact"/>
              <w:jc w:val="left"/>
            </w:pPr>
            <w:r>
              <w:t xml:space="preserve">16</w:t>
            </w:r>
          </w:p>
        </w:tc>
        <w:tc>
          <w:p>
            <w:pPr>
              <w:pStyle w:val="Compact"/>
              <w:jc w:val="left"/>
            </w:pPr>
            <w:r>
              <w:t xml:space="preserve">100</w:t>
            </w:r>
          </w:p>
        </w:tc>
        <w:tc>
          <w:p>
            <w:pPr>
              <w:pStyle w:val="Compact"/>
              <w:jc w:val="left"/>
            </w:pPr>
            <w:r>
              <w:t xml:space="preserve">27</w:t>
            </w:r>
          </w:p>
        </w:tc>
      </w:tr>
      <w:tr>
        <w:tc>
          <w:p/>
        </w:tc>
        <w:tc>
          <w:p>
            <w:pPr>
              <w:pStyle w:val="Compact"/>
              <w:jc w:val="left"/>
            </w:pPr>
            <w:r>
              <w:t xml:space="preserve">w/</w:t>
            </w:r>
          </w:p>
        </w:tc>
        <w:tc>
          <w:p>
            <w:pPr>
              <w:pStyle w:val="Compact"/>
              <w:jc w:val="left"/>
            </w:pPr>
            <w:r>
              <w:t xml:space="preserve">4.55</w:t>
            </w:r>
          </w:p>
        </w:tc>
        <w:tc>
          <w:p>
            <w:pPr>
              <w:pStyle w:val="Compact"/>
              <w:jc w:val="left"/>
            </w:pPr>
            <w:r>
              <w:t xml:space="preserve">74</w:t>
            </w:r>
          </w:p>
        </w:tc>
        <w:tc>
          <w:p>
            <w:pPr>
              <w:pStyle w:val="Compact"/>
              <w:jc w:val="left"/>
            </w:pPr>
            <w:r>
              <w:t xml:space="preserve">100</w:t>
            </w:r>
          </w:p>
        </w:tc>
        <w:tc>
          <w:p>
            <w:pPr>
              <w:pStyle w:val="Compact"/>
              <w:jc w:val="left"/>
            </w:pPr>
            <w:r>
              <w:t xml:space="preserve">85</w:t>
            </w:r>
          </w:p>
        </w:tc>
      </w:tr>
      <w:tr>
        <w:tc>
          <w:p>
            <w:pPr>
              <w:pStyle w:val="Compact"/>
              <w:jc w:val="left"/>
            </w:pPr>
            <w:r>
              <w:t xml:space="preserve">工业AI领域</w:t>
            </w:r>
          </w:p>
        </w:tc>
        <w:tc>
          <w:p>
            <w:pPr>
              <w:pStyle w:val="Compact"/>
              <w:jc w:val="left"/>
            </w:pPr>
            <w:r>
              <w:t xml:space="preserve">w/o</w:t>
            </w:r>
          </w:p>
        </w:tc>
        <w:tc>
          <w:p>
            <w:pPr>
              <w:pStyle w:val="Compact"/>
              <w:jc w:val="left"/>
            </w:pPr>
            <w:r>
              <w:t xml:space="preserve">7.96</w:t>
            </w:r>
          </w:p>
        </w:tc>
        <w:tc>
          <w:p>
            <w:pPr>
              <w:pStyle w:val="Compact"/>
              <w:jc w:val="left"/>
            </w:pPr>
            <w:r>
              <w:t xml:space="preserve">70</w:t>
            </w:r>
          </w:p>
        </w:tc>
        <w:tc>
          <w:p>
            <w:pPr>
              <w:pStyle w:val="Compact"/>
              <w:jc w:val="left"/>
            </w:pPr>
            <w:r>
              <w:t xml:space="preserve">98</w:t>
            </w:r>
          </w:p>
        </w:tc>
        <w:tc>
          <w:p>
            <w:pPr>
              <w:pStyle w:val="Compact"/>
              <w:jc w:val="left"/>
            </w:pPr>
            <w:r>
              <w:t xml:space="preserve">82</w:t>
            </w:r>
          </w:p>
        </w:tc>
      </w:tr>
      <w:tr>
        <w:tc>
          <w:p/>
        </w:tc>
        <w:tc>
          <w:p>
            <w:pPr>
              <w:pStyle w:val="Compact"/>
              <w:jc w:val="left"/>
            </w:pPr>
            <w:r>
              <w:t xml:space="preserve">w/</w:t>
            </w:r>
          </w:p>
        </w:tc>
        <w:tc>
          <w:p>
            <w:pPr>
              <w:pStyle w:val="Compact"/>
              <w:jc w:val="left"/>
            </w:pPr>
            <w:r>
              <w:t xml:space="preserve">6.31</w:t>
            </w:r>
          </w:p>
        </w:tc>
        <w:tc>
          <w:p>
            <w:pPr>
              <w:pStyle w:val="Compact"/>
              <w:jc w:val="left"/>
            </w:pPr>
            <w:r>
              <w:t xml:space="preserve">89</w:t>
            </w:r>
          </w:p>
        </w:tc>
        <w:tc>
          <w:p>
            <w:pPr>
              <w:pStyle w:val="Compact"/>
              <w:jc w:val="left"/>
            </w:pPr>
            <w:r>
              <w:t xml:space="preserve">98</w:t>
            </w:r>
          </w:p>
        </w:tc>
        <w:tc>
          <w:p>
            <w:pPr>
              <w:pStyle w:val="Compact"/>
              <w:jc w:val="left"/>
            </w:pPr>
            <w:r>
              <w:t xml:space="preserve">93</w:t>
            </w:r>
          </w:p>
        </w:tc>
      </w:tr>
      <w:tr>
        <w:tc>
          <w:p>
            <w:pPr>
              <w:pStyle w:val="Compact"/>
              <w:jc w:val="left"/>
            </w:pPr>
            <w:r>
              <w:t xml:space="preserve">工业通用领域</w:t>
            </w:r>
          </w:p>
        </w:tc>
        <w:tc>
          <w:p>
            <w:pPr>
              <w:pStyle w:val="Compact"/>
              <w:jc w:val="left"/>
            </w:pPr>
            <w:r>
              <w:t xml:space="preserve">w/o</w:t>
            </w:r>
          </w:p>
        </w:tc>
        <w:tc>
          <w:p>
            <w:pPr>
              <w:pStyle w:val="Compact"/>
              <w:jc w:val="left"/>
            </w:pPr>
            <w:r>
              <w:t xml:space="preserve">9.47</w:t>
            </w:r>
          </w:p>
        </w:tc>
        <w:tc>
          <w:p>
            <w:pPr>
              <w:pStyle w:val="Compact"/>
              <w:jc w:val="left"/>
            </w:pPr>
            <w:r>
              <w:t xml:space="preserve">67</w:t>
            </w:r>
          </w:p>
        </w:tc>
        <w:tc>
          <w:p>
            <w:pPr>
              <w:pStyle w:val="Compact"/>
              <w:jc w:val="left"/>
            </w:pPr>
            <w:r>
              <w:t xml:space="preserve">100</w:t>
            </w:r>
          </w:p>
        </w:tc>
        <w:tc>
          <w:p>
            <w:pPr>
              <w:pStyle w:val="Compact"/>
              <w:jc w:val="left"/>
            </w:pPr>
            <w:r>
              <w:t xml:space="preserve">80</w:t>
            </w:r>
          </w:p>
        </w:tc>
      </w:tr>
      <w:tr>
        <w:tc>
          <w:p/>
        </w:tc>
        <w:tc>
          <w:p>
            <w:pPr>
              <w:pStyle w:val="Compact"/>
              <w:jc w:val="left"/>
            </w:pPr>
            <w:r>
              <w:t xml:space="preserve">w/</w:t>
            </w:r>
          </w:p>
        </w:tc>
        <w:tc>
          <w:p>
            <w:pPr>
              <w:pStyle w:val="Compact"/>
              <w:jc w:val="left"/>
            </w:pPr>
            <w:r>
              <w:t xml:space="preserve">8.75</w:t>
            </w:r>
          </w:p>
        </w:tc>
        <w:tc>
          <w:p>
            <w:pPr>
              <w:pStyle w:val="Compact"/>
              <w:jc w:val="left"/>
            </w:pPr>
            <w:r>
              <w:t xml:space="preserve">80</w:t>
            </w:r>
          </w:p>
        </w:tc>
        <w:tc>
          <w:p>
            <w:pPr>
              <w:pStyle w:val="Compact"/>
              <w:jc w:val="left"/>
            </w:pPr>
            <w:r>
              <w:t xml:space="preserve">98</w:t>
            </w:r>
          </w:p>
        </w:tc>
        <w:tc>
          <w:p>
            <w:pPr>
              <w:pStyle w:val="Compact"/>
              <w:jc w:val="left"/>
            </w:pPr>
            <w:r>
              <w:t xml:space="preserve">88</w:t>
            </w:r>
          </w:p>
        </w:tc>
      </w:tr>
    </w:tbl>
    <w:p>
      <w:pPr>
        <w:pStyle w:val="BodyText"/>
      </w:pPr>
      <w:r>
        <w:t xml:space="preserve">为了评估Contextual Paraformer的热词定制效果，我们通过从AISHELL测试集采样235个包含实体词的音频片段（包括187个命名实体）构建了一个热词测试集。该数据集已上传到ModelScope，测试方案已开放给FunASR。此外，我们还将实验范围扩展到了工业任务的AI领域和通用领域，具体如表2所示。</w:t>
      </w:r>
    </w:p>
    <w:p>
      <w:pPr>
        <w:pStyle w:val="BodyText"/>
      </w:pPr>
      <w:r>
        <w:t xml:space="preserve">表3展示了我们关于热词对Contextual Paraformer性能影响的实验结果。我们采用了CER和F1-score作为定制化任务的评估指标。我们的结果显示，在AISHELL-1命名实体子集上，F1-score取得了大约58%的显著提升。此外，在工业定制化任务中，我们平均实现了10%的提升。</w:t>
      </w:r>
    </w:p>
    <w:p>
      <w:pPr>
        <w:pStyle w:val="Heading3"/>
      </w:pPr>
      <w:bookmarkStart w:id="28" w:name="语音活动检测"/>
      <w:r>
        <w:t xml:space="preserve">3.4. 语音活动检测</w:t>
      </w:r>
      <w:bookmarkEnd w:id="28"/>
    </w:p>
    <w:p>
      <w:pPr>
        <w:pStyle w:val="FirstParagraph"/>
      </w:pPr>
      <w:r>
        <w:t xml:space="preserve">语音活动检测（VAD）在语音识别系统中通过检测有效语音的开始和结束起着重要作用。FunASR 提供了一种基于FSMN结构的高效VAD模型。[23]为了提高模型的区分能力，我们使用单音素作为建模单元，鉴于相对丰富的语音信息。在推理过程中，VAD系统需要进行后处理以提升鲁棒性，包括阈值设置和滑动窗口等操作。</w:t>
      </w:r>
    </w:p>
    <w:p>
      <w:pPr>
        <w:pStyle w:val="BodyText"/>
      </w:pPr>
      <w:r>
        <w:rPr>
          <w:b/>
        </w:rPr>
        <w:t xml:space="preserve">表4：在连续话语上对VAD的评估。</w:t>
      </w:r>
    </w:p>
    <w:tbl>
      <w:tblPr>
        <w:tblStyle w:val="Table"/>
        <w:tblW w:type="pct" w:w="0.0"/>
        <w:tblLook w:firstRow="1"/>
      </w:tblPr>
      <w:tblGrid/>
      <w:tr>
        <w:trPr>
          <w:cnfStyle w:firstRow="1"/>
        </w:trPr>
        <w:tc>
          <w:tcPr>
            <w:tcBorders>
              <w:bottom w:val="single"/>
            </w:tcBorders>
            <w:vAlign w:val="bottom"/>
          </w:tcPr>
          <w:p>
            <w:pPr>
              <w:pStyle w:val="Compact"/>
              <w:jc w:val="left"/>
            </w:pPr>
            <w:r>
              <w:t xml:space="preserve">数据集</w:t>
            </w:r>
          </w:p>
        </w:tc>
        <w:tc>
          <w:tcPr>
            <w:tcBorders>
              <w:bottom w:val="single"/>
            </w:tcBorders>
            <w:vAlign w:val="bottom"/>
          </w:tcPr>
          <w:p>
            <w:pPr>
              <w:pStyle w:val="Compact"/>
              <w:jc w:val="left"/>
            </w:pPr>
            <w:r>
              <w:t xml:space="preserve">VAD</w:t>
            </w:r>
          </w:p>
        </w:tc>
        <w:tc>
          <w:tcPr>
            <w:tcBorders>
              <w:bottom w:val="single"/>
            </w:tcBorders>
            <w:vAlign w:val="bottom"/>
          </w:tcPr>
          <w:p>
            <w:pPr>
              <w:pStyle w:val="Compact"/>
              <w:jc w:val="left"/>
            </w:pPr>
            <w:r>
              <w:t xml:space="preserve">CER</w:t>
            </w:r>
          </w:p>
        </w:tc>
        <w:tc>
          <w:tcPr>
            <w:tcBorders>
              <w:bottom w:val="single"/>
            </w:tcBorders>
            <w:vAlign w:val="bottom"/>
          </w:tcPr>
          <w:p>
            <w:pPr>
              <w:pStyle w:val="Compact"/>
              <w:jc w:val="left"/>
            </w:pPr>
            <w:r>
              <w:t xml:space="preserve">语音百分比</w:t>
            </w:r>
          </w:p>
        </w:tc>
      </w:tr>
      <w:tr>
        <w:tc>
          <w:p>
            <w:pPr>
              <w:pStyle w:val="Compact"/>
              <w:jc w:val="left"/>
            </w:pPr>
            <w:r>
              <w:t xml:space="preserve">会议领域</w:t>
            </w:r>
          </w:p>
        </w:tc>
        <w:tc>
          <w:p>
            <w:pPr>
              <w:pStyle w:val="Compact"/>
              <w:jc w:val="left"/>
            </w:pPr>
            <w:r>
              <w:t xml:space="preserve">w/o</w:t>
            </w:r>
          </w:p>
        </w:tc>
        <w:tc>
          <w:p>
            <w:pPr>
              <w:pStyle w:val="Compact"/>
              <w:jc w:val="left"/>
            </w:pPr>
            <w:r>
              <w:t xml:space="preserve">2.42</w:t>
            </w:r>
          </w:p>
        </w:tc>
        <w:tc>
          <w:p>
            <w:pPr>
              <w:pStyle w:val="Compact"/>
              <w:jc w:val="left"/>
            </w:pPr>
            <w:r>
              <w:t xml:space="preserve">1</w:t>
            </w:r>
          </w:p>
        </w:tc>
      </w:tr>
      <w:tr>
        <w:tc>
          <w:p/>
        </w:tc>
        <w:tc>
          <w:p>
            <w:pPr>
              <w:pStyle w:val="Compact"/>
              <w:jc w:val="left"/>
            </w:pPr>
            <w:r>
              <w:t xml:space="preserve">w/</w:t>
            </w:r>
          </w:p>
        </w:tc>
        <w:tc>
          <w:p>
            <w:pPr>
              <w:pStyle w:val="Compact"/>
              <w:jc w:val="left"/>
            </w:pPr>
            <w:r>
              <w:t xml:space="preserve">2.31</w:t>
            </w:r>
          </w:p>
        </w:tc>
        <w:tc>
          <w:p>
            <w:pPr>
              <w:pStyle w:val="Compact"/>
              <w:jc w:val="left"/>
            </w:pPr>
            <w:r>
              <w:t xml:space="preserve">0.92</w:t>
            </w:r>
          </w:p>
        </w:tc>
      </w:tr>
      <w:tr>
        <w:tc>
          <w:p>
            <w:pPr>
              <w:pStyle w:val="Compact"/>
              <w:jc w:val="left"/>
            </w:pPr>
            <w:r>
              <w:t xml:space="preserve">视频领域</w:t>
            </w:r>
          </w:p>
        </w:tc>
        <w:tc>
          <w:p>
            <w:pPr>
              <w:pStyle w:val="Compact"/>
              <w:jc w:val="left"/>
            </w:pPr>
            <w:r>
              <w:t xml:space="preserve">w/o</w:t>
            </w:r>
          </w:p>
        </w:tc>
        <w:tc>
          <w:p>
            <w:pPr>
              <w:pStyle w:val="Compact"/>
              <w:jc w:val="left"/>
            </w:pPr>
            <w:r>
              <w:t xml:space="preserve">27.87</w:t>
            </w:r>
          </w:p>
        </w:tc>
        <w:tc>
          <w:p>
            <w:pPr>
              <w:pStyle w:val="Compact"/>
              <w:jc w:val="left"/>
            </w:pPr>
            <w:r>
              <w:t xml:space="preserve">1</w:t>
            </w:r>
          </w:p>
        </w:tc>
      </w:tr>
      <w:tr>
        <w:tc>
          <w:p/>
        </w:tc>
        <w:tc>
          <w:p>
            <w:pPr>
              <w:pStyle w:val="Compact"/>
              <w:jc w:val="left"/>
            </w:pPr>
            <w:r>
              <w:t xml:space="preserve">w/</w:t>
            </w:r>
          </w:p>
        </w:tc>
        <w:tc>
          <w:p>
            <w:pPr>
              <w:pStyle w:val="Compact"/>
              <w:jc w:val="left"/>
            </w:pPr>
            <w:r>
              <w:t xml:space="preserve">25.34</w:t>
            </w:r>
          </w:p>
        </w:tc>
        <w:tc>
          <w:p>
            <w:pPr>
              <w:pStyle w:val="Compact"/>
              <w:jc w:val="left"/>
            </w:pPr>
            <w:r>
              <w:t xml:space="preserve">0.78</w:t>
            </w:r>
          </w:p>
        </w:tc>
      </w:tr>
    </w:tbl>
    <w:p>
      <w:pPr>
        <w:pStyle w:val="BodyText"/>
      </w:pPr>
      <w:r>
        <w:t xml:space="preserve">VAD 的评估详见表 4。测试集由两个领域的手工标注数据组成：2 小时的会议数据和 4 小时的视频数据。我们报告了字符错误率（CER）以及发送到 ASR 推理进行识别的话语百分比。结果表明，VAD 能够有效过滤无效语音，使识别系统能够聚焦于有效语音，从而显著提升 CER。</w:t>
      </w:r>
    </w:p>
    <w:p>
      <w:pPr>
        <w:pStyle w:val="Heading3"/>
      </w:pPr>
      <w:bookmarkStart w:id="29" w:name="文本后处理"/>
      <w:r>
        <w:t xml:space="preserve">3.5. 文本后处理</w:t>
      </w:r>
      <w:bookmarkEnd w:id="29"/>
    </w:p>
    <w:p>
      <w:pPr>
        <w:pStyle w:val="FirstParagraph"/>
      </w:pPr>
      <w:r>
        <w:t xml:space="preserve">文本后处理是生成可读ASR转录的重要步骤，涉及添加标点符号和去除语音不流畅之处。FunASR包括一个CT-Transformer模型，可以实时执行这两项任务，如下所述。[24]该模型的整体框架如图3所示。为了满足实时性要求，该模型允许部分输出以可控的时间延迟进行冻结。采用快速解码策略以在保持高精度的同时最大限度地减少延迟。</w:t>
      </w:r>
    </w:p>
    <w:tbl>
      <w:tblPr>
        <w:tblStyle w:val="Table"/>
        <w:tblW w:type="pct" w:w="5000.0"/>
        <w:tblLook w:firstRow="1"/>
      </w:tblPr>
      <w:tblGrid>
        <w:gridCol w:w="1674"/>
        <w:gridCol w:w="837"/>
        <w:gridCol w:w="515"/>
        <w:gridCol w:w="257"/>
        <w:gridCol w:w="1159"/>
        <w:gridCol w:w="1223"/>
        <w:gridCol w:w="1609"/>
        <w:gridCol w:w="643"/>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AR/NAR</w:t>
            </w:r>
          </w:p>
        </w:tc>
        <w:tc>
          <w:tcPr>
            <w:tcBorders>
              <w:bottom w:val="single"/>
            </w:tcBorders>
            <w:vAlign w:val="bottom"/>
          </w:tcPr>
          <w:p>
            <w:pPr>
              <w:pStyle w:val="Compact"/>
              <w:jc w:val="left"/>
            </w:pPr>
            <w:r>
              <w:t xml:space="preserve">LM</w:t>
            </w:r>
          </w:p>
        </w:tc>
        <w:tc>
          <w:tcPr>
            <w:tcBorders>
              <w:bottom w:val="single"/>
            </w:tcBorders>
            <w:vAlign w:val="bottom"/>
          </w:tcPr>
          <w:p>
            <w:pPr>
              <w:pStyle w:val="Compact"/>
              <w:jc w:val="left"/>
            </w:pPr>
            <w:r>
              <w:t xml:space="preserve">AISHELL test_ios</w:t>
            </w:r>
          </w:p>
        </w:tc>
        <w:tc>
          <w:tcPr>
            <w:tcBorders>
              <w:bottom w:val="single"/>
            </w:tcBorders>
            <w:vAlign w:val="bottom"/>
          </w:tcPr>
          <w:p>
            <w:pPr>
              <w:pStyle w:val="Compact"/>
              <w:jc w:val="left"/>
            </w:pPr>
            <w:r>
              <w:t xml:space="preserve">AISHELL-2 test_il5</w:t>
            </w:r>
          </w:p>
        </w:tc>
        <w:tc>
          <w:tcPr>
            <w:tcBorders>
              <w:bottom w:val="single"/>
            </w:tcBorders>
            <w:vAlign w:val="bottom"/>
          </w:tcPr>
          <w:p>
            <w:pPr>
              <w:pStyle w:val="Compact"/>
              <w:jc w:val="left"/>
            </w:pPr>
            <w:r>
              <w:t xml:space="preserve">WenetSpeech test_meeting</w:t>
            </w:r>
          </w:p>
        </w:tc>
        <w:tc>
          <w:tcPr>
            <w:tcBorders>
              <w:bottom w:val="single"/>
            </w:tcBorders>
            <w:vAlign w:val="bottom"/>
          </w:tcPr>
          <w:p>
            <w:pPr>
              <w:pStyle w:val="Compact"/>
              <w:jc w:val="left"/>
            </w:pPr>
            <w:r>
              <w:t xml:space="preserve">RTF</w:t>
            </w:r>
          </w:p>
        </w:tc>
      </w:tr>
      <w:tr>
        <w:tc>
          <w:p>
            <w:pPr>
              <w:pStyle w:val="Compact"/>
              <w:jc w:val="left"/>
            </w:pPr>
            <w:r>
              <w:t xml:space="preserve">ESPNET Conformer[14]</w:t>
            </w:r>
          </w:p>
        </w:tc>
        <w:tc>
          <w:p>
            <w:pPr>
              <w:pStyle w:val="Compact"/>
              <w:jc w:val="left"/>
            </w:pPr>
            <w:r>
              <w:t xml:space="preserve">46.25M</w:t>
            </w:r>
          </w:p>
        </w:tc>
        <w:tc>
          <w:p>
            <w:pPr>
              <w:pStyle w:val="Compact"/>
              <w:jc w:val="left"/>
            </w:pPr>
            <w:r>
              <w:t xml:space="preserve">AR</w:t>
            </w:r>
          </w:p>
        </w:tc>
        <w:tc>
          <w:p>
            <w:pPr>
              <w:pStyle w:val="Compact"/>
              <w:jc w:val="left"/>
            </w:pPr>
            <w:r>
              <w:t xml:space="preserve">w/</w:t>
            </w:r>
          </w:p>
        </w:tc>
        <w:tc>
          <w:p>
            <w:pPr>
              <w:pStyle w:val="Compact"/>
              <w:jc w:val="left"/>
            </w:pPr>
            <w:r>
              <w:t xml:space="preserve">4.60</w:t>
            </w:r>
          </w:p>
        </w:tc>
        <w:tc>
          <w:p>
            <w:pPr>
              <w:pStyle w:val="Compact"/>
              <w:jc w:val="left"/>
            </w:pPr>
            <w:r>
              <w:t xml:space="preserve">5.70 (1.50 †)</w:t>
            </w:r>
          </w:p>
        </w:tc>
        <w:tc>
          <w:p>
            <w:pPr>
              <w:pStyle w:val="Compact"/>
              <w:jc w:val="left"/>
            </w:pPr>
            <w:r>
              <w:t xml:space="preserve">-</w:t>
            </w:r>
          </w:p>
        </w:tc>
        <w:tc>
          <w:p>
            <w:pPr>
              <w:pStyle w:val="Compact"/>
              <w:jc w:val="left"/>
            </w:pPr>
            <w:r>
              <w:t xml:space="preserve">-</w:t>
            </w:r>
          </w:p>
        </w:tc>
      </w:tr>
      <w:tr>
        <w:tc>
          <w:p>
            <w:pPr>
              <w:pStyle w:val="Compact"/>
              <w:jc w:val="left"/>
            </w:pPr>
            <w:r>
              <w:t xml:space="preserve">WeNet Conformer-U2++[30]</w:t>
            </w:r>
          </w:p>
        </w:tc>
        <w:tc>
          <w:p>
            <w:pPr>
              <w:pStyle w:val="Compact"/>
              <w:jc w:val="left"/>
            </w:pPr>
            <w:r>
              <w:t xml:space="preserve">47.30M</w:t>
            </w:r>
          </w:p>
        </w:tc>
        <w:tc>
          <w:p>
            <w:pPr>
              <w:pStyle w:val="Compact"/>
              <w:jc w:val="left"/>
            </w:pPr>
            <w:r>
              <w:t xml:space="preserve">AR</w:t>
            </w:r>
          </w:p>
        </w:tc>
        <w:tc>
          <w:p>
            <w:pPr>
              <w:pStyle w:val="Compact"/>
              <w:jc w:val="left"/>
            </w:pPr>
            <w:r>
              <w:t xml:space="preserve">w/</w:t>
            </w:r>
          </w:p>
        </w:tc>
        <w:tc>
          <w:p>
            <w:pPr>
              <w:pStyle w:val="Compact"/>
              <w:jc w:val="left"/>
            </w:pPr>
            <w:r>
              <w:t xml:space="preserve">4.40</w:t>
            </w:r>
          </w:p>
        </w:tc>
        <w:tc>
          <w:p>
            <w:pPr>
              <w:pStyle w:val="Compact"/>
              <w:jc w:val="left"/>
            </w:pPr>
            <w:r>
              <w:t xml:space="preserve">5.35</w:t>
            </w:r>
          </w:p>
        </w:tc>
        <w:tc>
          <w:p>
            <w:pPr>
              <w:pStyle w:val="Compact"/>
              <w:jc w:val="left"/>
            </w:pPr>
            <w:r>
              <w:t xml:space="preserve">17.34 †</w:t>
            </w:r>
          </w:p>
        </w:tc>
        <w:tc>
          <w:p>
            <w:pPr>
              <w:pStyle w:val="Compact"/>
              <w:jc w:val="left"/>
            </w:pPr>
            <w:r>
              <w:t xml:space="preserve">-</w:t>
            </w:r>
          </w:p>
        </w:tc>
      </w:tr>
      <w:tr>
        <w:tc>
          <w:p>
            <w:pPr>
              <w:pStyle w:val="Compact"/>
              <w:jc w:val="left"/>
            </w:pPr>
            <w:r>
              <w:t xml:space="preserve">PaddleSpeechDeepSpeech2[16]</w:t>
            </w:r>
          </w:p>
        </w:tc>
        <w:tc>
          <w:p>
            <w:pPr>
              <w:pStyle w:val="Compact"/>
              <w:jc w:val="left"/>
            </w:pPr>
            <w:r>
              <w:t xml:space="preserve">58.4M</w:t>
            </w:r>
          </w:p>
        </w:tc>
        <w:tc>
          <w:p>
            <w:pPr>
              <w:pStyle w:val="Compact"/>
              <w:jc w:val="left"/>
            </w:pPr>
            <w:r>
              <w:t xml:space="preserve">AR</w:t>
            </w:r>
          </w:p>
        </w:tc>
        <w:tc>
          <w:p>
            <w:pPr>
              <w:pStyle w:val="Compact"/>
              <w:jc w:val="left"/>
            </w:pPr>
            <w:r>
              <w:t xml:space="preserve">w/</w:t>
            </w:r>
          </w:p>
        </w:tc>
        <w:tc>
          <w:p>
            <w:pPr>
              <w:pStyle w:val="Compact"/>
              <w:jc w:val="left"/>
            </w:pPr>
            <w:r>
              <w:t xml:space="preserve">6.40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K2 传感器[17]</w:t>
            </w:r>
          </w:p>
        </w:tc>
        <w:tc>
          <w:p>
            <w:pPr>
              <w:pStyle w:val="Compact"/>
              <w:jc w:val="left"/>
            </w:pPr>
            <w:r>
              <w:t xml:space="preserve">80M</w:t>
            </w:r>
          </w:p>
        </w:tc>
        <w:tc>
          <w:p>
            <w:pPr>
              <w:pStyle w:val="Compact"/>
              <w:jc w:val="left"/>
            </w:pPr>
            <w:r>
              <w:t xml:space="preserve">AR</w:t>
            </w:r>
          </w:p>
        </w:tc>
        <w:tc>
          <w:p>
            <w:pPr>
              <w:pStyle w:val="Compact"/>
              <w:jc w:val="left"/>
            </w:pPr>
            <w:r>
              <w:t xml:space="preserve">w/o</w:t>
            </w:r>
          </w:p>
        </w:tc>
        <w:tc>
          <w:p>
            <w:pPr>
              <w:pStyle w:val="Compact"/>
              <w:jc w:val="left"/>
            </w:pPr>
            <w:r>
              <w:t xml:space="preserve">5.05</w:t>
            </w:r>
          </w:p>
        </w:tc>
        <w:tc>
          <w:p>
            <w:pPr>
              <w:pStyle w:val="Compact"/>
              <w:jc w:val="left"/>
            </w:pPr>
            <w:r>
              <w:t xml:space="preserve">5.56</w:t>
            </w:r>
          </w:p>
        </w:tc>
        <w:tc>
          <w:p>
            <w:pPr>
              <w:pStyle w:val="Compact"/>
              <w:jc w:val="left"/>
            </w:pPr>
            <w:r>
              <w:t xml:space="preserve">14.44 †</w:t>
            </w:r>
          </w:p>
        </w:tc>
        <w:tc>
          <w:p>
            <w:pPr>
              <w:pStyle w:val="Compact"/>
              <w:jc w:val="left"/>
            </w:pPr>
            <w:r>
              <w:t xml:space="preserve">-</w:t>
            </w:r>
          </w:p>
        </w:tc>
      </w:tr>
      <w:tr>
        <w:tc>
          <w:p>
            <w:pPr>
              <w:pStyle w:val="Compact"/>
              <w:jc w:val="left"/>
            </w:pPr>
            <w:r>
              <w:t xml:space="preserve">Conformer</w:t>
            </w:r>
          </w:p>
        </w:tc>
        <w:tc>
          <w:p>
            <w:pPr>
              <w:pStyle w:val="Compact"/>
              <w:jc w:val="left"/>
            </w:pPr>
            <w:r>
              <w:t xml:space="preserve">46.25M</w:t>
            </w:r>
          </w:p>
        </w:tc>
        <w:tc>
          <w:p>
            <w:pPr>
              <w:pStyle w:val="Compact"/>
              <w:jc w:val="left"/>
            </w:pPr>
            <w:r>
              <w:t xml:space="preserve">AR</w:t>
            </w:r>
          </w:p>
        </w:tc>
        <w:tc>
          <w:p>
            <w:pPr>
              <w:pStyle w:val="Compact"/>
              <w:jc w:val="left"/>
            </w:pPr>
            <w:r>
              <w:t xml:space="preserve">w/</w:t>
            </w:r>
          </w:p>
        </w:tc>
        <w:tc>
          <w:p>
            <w:pPr>
              <w:pStyle w:val="Compact"/>
              <w:jc w:val="left"/>
            </w:pPr>
            <w:r>
              <w:t xml:space="preserve">4.65</w:t>
            </w:r>
          </w:p>
        </w:tc>
        <w:tc>
          <w:p>
            <w:pPr>
              <w:pStyle w:val="Compact"/>
              <w:jc w:val="left"/>
            </w:pPr>
            <w:r>
              <w:t xml:space="preserve">5.35</w:t>
            </w:r>
          </w:p>
        </w:tc>
        <w:tc>
          <w:p>
            <w:pPr>
              <w:pStyle w:val="Compact"/>
              <w:jc w:val="left"/>
            </w:pPr>
            <w:r>
              <w:t xml:space="preserve">15.21</w:t>
            </w:r>
          </w:p>
        </w:tc>
        <w:tc>
          <w:p>
            <w:pPr>
              <w:pStyle w:val="Compact"/>
              <w:jc w:val="left"/>
            </w:pPr>
            <w:r>
              <w:t xml:space="preserve">1.4300</w:t>
            </w:r>
          </w:p>
        </w:tc>
      </w:tr>
      <w:tr>
        <w:tc>
          <w:p>
            <w:pPr>
              <w:pStyle w:val="Compact"/>
              <w:jc w:val="left"/>
            </w:pPr>
            <w:r>
              <w:t xml:space="preserve">Paraformer</w:t>
            </w:r>
          </w:p>
        </w:tc>
        <w:tc>
          <w:p>
            <w:pPr>
              <w:pStyle w:val="Compact"/>
              <w:jc w:val="left"/>
            </w:pPr>
            <w:r>
              <w:t xml:space="preserve">46.3M</w:t>
            </w:r>
          </w:p>
        </w:tc>
        <w:tc>
          <w:p>
            <w:pPr>
              <w:pStyle w:val="Compact"/>
              <w:jc w:val="left"/>
            </w:pPr>
            <w:r>
              <w:t xml:space="preserve">NAR</w:t>
            </w:r>
          </w:p>
        </w:tc>
        <w:tc>
          <w:p>
            <w:pPr>
              <w:pStyle w:val="Compact"/>
              <w:jc w:val="left"/>
            </w:pPr>
            <w:r>
              <w:t xml:space="preserve">w/o</w:t>
            </w:r>
          </w:p>
        </w:tc>
        <w:tc>
          <w:p>
            <w:pPr>
              <w:pStyle w:val="Compact"/>
              <w:jc w:val="left"/>
            </w:pPr>
            <w:r>
              <w:t xml:space="preserve">5.21</w:t>
            </w:r>
          </w:p>
        </w:tc>
        <w:tc>
          <w:p>
            <w:pPr>
              <w:pStyle w:val="Compact"/>
              <w:jc w:val="left"/>
            </w:pPr>
            <w:r>
              <w:t xml:space="preserve">5.83</w:t>
            </w:r>
          </w:p>
        </w:tc>
        <w:tc>
          <w:p>
            <w:pPr>
              <w:pStyle w:val="Compact"/>
              <w:jc w:val="left"/>
            </w:pPr>
            <w:r>
              <w:t xml:space="preserve">-</w:t>
            </w:r>
          </w:p>
        </w:tc>
        <w:tc>
          <w:p>
            <w:pPr>
              <w:pStyle w:val="Compact"/>
              <w:jc w:val="left"/>
            </w:pPr>
            <w:r>
              <w:t xml:space="preserve">0.2100</w:t>
            </w:r>
          </w:p>
        </w:tc>
      </w:tr>
      <w:tr>
        <w:tc>
          <w:p>
            <w:pPr>
              <w:pStyle w:val="Compact"/>
              <w:jc w:val="left"/>
            </w:pPr>
            <w:r>
              <w:t xml:space="preserve">Paraformer-large</w:t>
            </w:r>
          </w:p>
        </w:tc>
        <w:tc>
          <w:p>
            <w:pPr>
              <w:pStyle w:val="Compact"/>
              <w:jc w:val="left"/>
            </w:pPr>
            <w:r>
              <w:t xml:space="preserve">220M</w:t>
            </w:r>
          </w:p>
        </w:tc>
        <w:tc>
          <w:p>
            <w:pPr>
              <w:pStyle w:val="Compact"/>
              <w:jc w:val="left"/>
            </w:pPr>
            <w:r>
              <w:t xml:space="preserve">NAR</w:t>
            </w:r>
          </w:p>
        </w:tc>
        <w:tc>
          <w:p>
            <w:pPr>
              <w:pStyle w:val="Compact"/>
              <w:jc w:val="left"/>
            </w:pPr>
            <w:r>
              <w:t xml:space="preserve">w/o</w:t>
            </w:r>
          </w:p>
        </w:tc>
        <w:tc>
          <w:p>
            <w:pPr>
              <w:pStyle w:val="Compact"/>
              <w:jc w:val="left"/>
            </w:pPr>
            <w:r>
              <w:t xml:space="preserve">1.95</w:t>
            </w:r>
          </w:p>
        </w:tc>
        <w:tc>
          <w:p>
            <w:pPr>
              <w:pStyle w:val="Compact"/>
              <w:jc w:val="left"/>
            </w:pPr>
            <w:r>
              <w:t xml:space="preserve">2.85</w:t>
            </w:r>
          </w:p>
        </w:tc>
        <w:tc>
          <w:p>
            <w:pPr>
              <w:pStyle w:val="Compact"/>
              <w:jc w:val="left"/>
            </w:pPr>
            <w:r>
              <w:t xml:space="preserve">6.97</w:t>
            </w:r>
          </w:p>
        </w:tc>
        <w:tc>
          <w:p>
            <w:pPr>
              <w:pStyle w:val="Compact"/>
              <w:jc w:val="left"/>
            </w:pPr>
            <w:r>
              <w:t xml:space="preserve">0.0251</w:t>
            </w:r>
          </w:p>
        </w:tc>
      </w:tr>
    </w:tbl>
    <w:p>
      <w:pPr>
        <w:pStyle w:val="BodyText"/>
      </w:pPr>
      <w:r>
        <w:t xml:space="preserve">表6：文本后处理的结果</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标点符号</w:t>
            </w:r>
          </w:p>
        </w:tc>
        <w:tc>
          <w:tcPr>
            <w:tcBorders>
              <w:bottom w:val="single"/>
            </w:tcBorders>
            <w:vAlign w:val="bottom"/>
          </w:tcPr>
          <w:p>
            <w:pPr>
              <w:pStyle w:val="Compact"/>
              <w:jc w:val="left"/>
            </w:pPr>
            <w:r>
              <w:t xml:space="preserve">不流畅</w:t>
            </w:r>
          </w:p>
        </w:tc>
        <w:tc>
          <w:tcPr>
            <w:tcBorders>
              <w:bottom w:val="single"/>
            </w:tcBorders>
            <w:vAlign w:val="bottom"/>
          </w:tcPr>
          <w:p>
            <w:pPr>
              <w:pStyle w:val="Compact"/>
              <w:jc w:val="left"/>
            </w:pPr>
            <w:r>
              <w:t xml:space="preserve">推理时间</w:t>
            </w:r>
          </w:p>
        </w:tc>
      </w:tr>
      <w:tr>
        <w:tc>
          <w:p/>
        </w:tc>
        <w:tc>
          <w:p>
            <w:pPr>
              <w:pStyle w:val="Compact"/>
              <w:jc w:val="left"/>
            </w:pPr>
            <w:r>
              <w:t xml:space="preserve">P</w:t>
            </w:r>
          </w:p>
        </w:tc>
        <w:tc>
          <w:p>
            <w:pPr>
              <w:pStyle w:val="Compact"/>
              <w:jc w:val="left"/>
            </w:pPr>
            <w:r>
              <w:t xml:space="preserve">R</w:t>
            </w:r>
          </w:p>
        </w:tc>
        <w:tc>
          <w:p>
            <w:pPr>
              <w:pStyle w:val="Compact"/>
              <w:jc w:val="left"/>
            </w:pPr>
            <w:r>
              <w:t xml:space="preserve">F1</w:t>
            </w:r>
          </w:p>
        </w:tc>
      </w:tr>
      <w:tr>
        <w:tc>
          <w:p>
            <w:pPr>
              <w:pStyle w:val="Compact"/>
              <w:jc w:val="left"/>
            </w:pPr>
            <w:r>
              <w:t xml:space="preserve">BLSTM</w:t>
            </w:r>
          </w:p>
        </w:tc>
        <w:tc>
          <w:p>
            <w:pPr>
              <w:pStyle w:val="Compact"/>
              <w:jc w:val="left"/>
            </w:pPr>
            <w:r>
              <w:t xml:space="preserve">60.2</w:t>
            </w:r>
          </w:p>
        </w:tc>
        <w:tc>
          <w:p>
            <w:pPr>
              <w:pStyle w:val="Compact"/>
              <w:jc w:val="left"/>
            </w:pPr>
            <w:r>
              <w:t xml:space="preserve">45.8</w:t>
            </w:r>
          </w:p>
        </w:tc>
        <w:tc>
          <w:p>
            <w:pPr>
              <w:pStyle w:val="Compact"/>
              <w:jc w:val="left"/>
            </w:pPr>
            <w:r>
              <w:t xml:space="preserve">53.9</w:t>
            </w:r>
          </w:p>
        </w:tc>
      </w:tr>
      <w:tr>
        <w:tc>
          <w:p>
            <w:pPr>
              <w:pStyle w:val="Compact"/>
              <w:jc w:val="left"/>
            </w:pPr>
            <w:r>
              <w:t xml:space="preserve">Full-Trans.</w:t>
            </w:r>
          </w:p>
        </w:tc>
        <w:tc>
          <w:p>
            <w:pPr>
              <w:pStyle w:val="Compact"/>
              <w:jc w:val="left"/>
            </w:pPr>
            <w:r>
              <w:t xml:space="preserve">62.1</w:t>
            </w:r>
          </w:p>
        </w:tc>
        <w:tc>
          <w:p>
            <w:pPr>
              <w:pStyle w:val="Compact"/>
              <w:jc w:val="left"/>
            </w:pPr>
            <w:r>
              <w:t xml:space="preserve">55.9</w:t>
            </w:r>
          </w:p>
        </w:tc>
        <w:tc>
          <w:p>
            <w:pPr>
              <w:pStyle w:val="Compact"/>
              <w:jc w:val="left"/>
            </w:pPr>
            <w:r>
              <w:t xml:space="preserve">58.8</w:t>
            </w:r>
          </w:p>
        </w:tc>
      </w:tr>
      <w:tr>
        <w:tc>
          <w:p>
            <w:pPr>
              <w:pStyle w:val="Compact"/>
              <w:jc w:val="left"/>
            </w:pPr>
            <w:r>
              <w:t xml:space="preserve">CT-Trans.</w:t>
            </w:r>
          </w:p>
        </w:tc>
        <w:tc>
          <w:p>
            <w:pPr>
              <w:pStyle w:val="Compact"/>
              <w:jc w:val="left"/>
            </w:pPr>
            <w:r>
              <w:t xml:space="preserve">62.7</w:t>
            </w:r>
          </w:p>
        </w:tc>
        <w:tc>
          <w:p>
            <w:pPr>
              <w:pStyle w:val="Compact"/>
              <w:jc w:val="left"/>
            </w:pPr>
            <w:r>
              <w:t xml:space="preserve">55.3</w:t>
            </w:r>
          </w:p>
        </w:tc>
        <w:tc>
          <w:p>
            <w:pPr>
              <w:pStyle w:val="Compact"/>
              <w:jc w:val="left"/>
            </w:pPr>
            <w:r>
              <w:t xml:space="preserve">58.8</w:t>
            </w:r>
          </w:p>
        </w:tc>
      </w:tr>
    </w:tbl>
    <w:p>
      <w:pPr>
        <w:numPr>
          <w:ilvl w:val="0"/>
          <w:numId w:val="1002"/>
        </w:numPr>
        <w:pStyle w:val="Compact"/>
      </w:pPr>
      <w:r>
        <w:t xml:space="preserve">实验</w:t>
      </w:r>
    </w:p>
    <w:p>
      <w:pPr>
        <w:pStyle w:val="FirstParagraph"/>
      </w:pPr>
      <w:r>
        <w:t xml:space="preserve">4.1. 评估 ASR</w:t>
      </w:r>
    </w:p>
    <w:p>
      <w:pPr>
        <w:pStyle w:val="BodyText"/>
      </w:pPr>
      <w:r>
        <w:t xml:space="preserve">在我们的实验中，我们在AISHELL、AISHELL-2和WenetSpeech数据集上评估了我们的模型性能，并在表5中详细展示了结果。与其他开源工具包相比，FunASR的表现与基线Conformer模型相当。为了与Paraformer进行公平比较，我们移除了Conformer的语言模型（LM）和联合CTC解码。结果显示，在识别准确率方面，Paraformer在没有LM的情况下略优于Conformer。我们还通过在GPU（V100）上使用批量大小为1的RTF评估了模型在推理速度方面的计算效率。Paraformer模型在推理中实现了12倍的加速，这在自回归模型中是一个显著优势。即使将Paraformer-large模型的参数数量从46M增加到220M，其RTF仍然优于参数为46M的AR模型。</w:t>
      </w:r>
    </w:p>
    <w:p>
      <w:pPr>
        <w:pStyle w:val="BodyText"/>
      </w:pPr>
      <w:r>
        <w:t xml:space="preserve">FunASR 提供了一个预训练的 Paraformer-large 模型，该模型专门在行业常用的6万小时普通话语音识别语料库上训练。Paraformer-large 的性能非常出色，如表5所示。在 AISHELL 测试集、AISHELL-2 test_ios 以及 WenetSpeech test.meeting 任务上，分别实现了 1.95%、2.85% 和 6.97% 的低字符错误率（CER）。这些结果说明采用大规模语音语料库对于提升 ASR 系统性能的重要性。</w:t>
      </w:r>
    </w:p>
    <w:p>
      <w:pPr>
        <w:pStyle w:val="BodyText"/>
      </w:pPr>
      <w:r>
        <w:t xml:space="preserve">此外，FunASR为我们的预训练模型提供了定制能力，使其能够在特定领域的数据上进行微调。使用AISHELL和工业领域数据（200小时）对我们的Paraformer-large模型进行微调的结果如表7所示。在AISHELL开发集和测试集任务中，我们的模型分别实现了7.4%和8.7%的相对提升。此外，在物流领域的实验表明，对Paraformer-large模型进行微调能够显著提升识别效果和领域关键词召回率。短测试集的音频平均长度为5.7秒，总时长为2.41小时。长测试集的总时长为49.5小时，音频平均长度为16.02秒。总体来看，领域关键词召回率从76.7%提升到96.8%，CER从11.25%下降到10.16%。实验结果表明，预训练模型可以通过您的语料进行微调，从而在相关领域实现显著提升。</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预训练(CER%/召回率%)</w:t>
            </w:r>
          </w:p>
        </w:tc>
        <w:tc>
          <w:tcPr>
            <w:tcBorders>
              <w:bottom w:val="single"/>
            </w:tcBorders>
            <w:vAlign w:val="bottom"/>
          </w:tcPr>
          <w:p>
            <w:pPr>
              <w:pStyle w:val="Compact"/>
              <w:jc w:val="left"/>
            </w:pPr>
            <w:r>
              <w:t xml:space="preserve">微调(CER%/召回率%)</w:t>
            </w:r>
          </w:p>
        </w:tc>
      </w:tr>
      <w:tr>
        <w:tc>
          <w:p>
            <w:pPr>
              <w:pStyle w:val="Compact"/>
              <w:jc w:val="left"/>
            </w:pPr>
            <w:r>
              <w:t xml:space="preserve">AISHELL dev</w:t>
            </w:r>
          </w:p>
        </w:tc>
        <w:tc>
          <w:p>
            <w:pPr>
              <w:pStyle w:val="Compact"/>
              <w:jc w:val="left"/>
            </w:pPr>
            <w:r>
              <w:t xml:space="preserve">1.75 / -</w:t>
            </w:r>
          </w:p>
        </w:tc>
        <w:tc>
          <w:p>
            <w:pPr>
              <w:pStyle w:val="Compact"/>
              <w:jc w:val="left"/>
            </w:pPr>
            <w:r>
              <w:t xml:space="preserve">1.62 / -</w:t>
            </w:r>
          </w:p>
        </w:tc>
        <w:tc>
          <w:p/>
        </w:tc>
      </w:tr>
      <w:tr>
        <w:tc>
          <w:p>
            <w:pPr>
              <w:pStyle w:val="Compact"/>
              <w:jc w:val="left"/>
            </w:pPr>
            <w:r>
              <w:t xml:space="preserve">test</w:t>
            </w:r>
          </w:p>
        </w:tc>
        <w:tc>
          <w:p>
            <w:pPr>
              <w:pStyle w:val="Compact"/>
              <w:jc w:val="left"/>
            </w:pPr>
            <w:r>
              <w:t xml:space="preserve">1.95 / -</w:t>
            </w:r>
          </w:p>
        </w:tc>
        <w:tc>
          <w:p>
            <w:pPr>
              <w:pStyle w:val="Compact"/>
              <w:jc w:val="left"/>
            </w:pPr>
            <w:r>
              <w:t xml:space="preserve">1.78 / -</w:t>
            </w:r>
          </w:p>
        </w:tc>
        <w:tc>
          <w:p/>
        </w:tc>
      </w:tr>
      <w:tr>
        <w:tc>
          <w:p>
            <w:pPr>
              <w:pStyle w:val="Compact"/>
              <w:jc w:val="left"/>
            </w:pPr>
            <w:r>
              <w:t xml:space="preserve">物流</w:t>
            </w:r>
          </w:p>
        </w:tc>
        <w:tc>
          <w:p>
            <w:pPr>
              <w:pStyle w:val="Compact"/>
              <w:jc w:val="left"/>
            </w:pPr>
            <w:r>
              <w:t xml:space="preserve">简短</w:t>
            </w:r>
          </w:p>
        </w:tc>
        <w:tc>
          <w:p>
            <w:pPr>
              <w:pStyle w:val="Compact"/>
              <w:jc w:val="left"/>
            </w:pPr>
            <w:r>
              <w:t xml:space="preserve">9.4 / 79.4</w:t>
            </w:r>
          </w:p>
        </w:tc>
        <w:tc>
          <w:p>
            <w:pPr>
              <w:pStyle w:val="Compact"/>
              <w:jc w:val="left"/>
            </w:pPr>
            <w:r>
              <w:t xml:space="preserve">7.6 / 97.6</w:t>
            </w:r>
          </w:p>
        </w:tc>
      </w:tr>
      <w:tr>
        <w:tc>
          <w:p>
            <w:pPr>
              <w:pStyle w:val="Compact"/>
              <w:jc w:val="left"/>
            </w:pPr>
            <w:r>
              <w:t xml:space="preserve">domain long</w:t>
            </w:r>
          </w:p>
        </w:tc>
        <w:tc>
          <w:p>
            <w:pPr>
              <w:pStyle w:val="Compact"/>
              <w:jc w:val="left"/>
            </w:pPr>
            <w:r>
              <w:t xml:space="preserve">13.1 / 74.0</w:t>
            </w:r>
          </w:p>
        </w:tc>
        <w:tc>
          <w:p>
            <w:pPr>
              <w:pStyle w:val="Compact"/>
              <w:jc w:val="left"/>
            </w:pPr>
            <w:r>
              <w:t xml:space="preserve">12.6 / 96.0</w:t>
            </w:r>
          </w:p>
        </w:tc>
        <w:tc>
          <w:p/>
        </w:tc>
      </w:tr>
    </w:tbl>
    <w:p>
      <w:pPr>
        <w:pStyle w:val="BodyText"/>
      </w:pPr>
      <w:r>
        <w:t xml:space="preserve">4.2. 运行时基准测试</w:t>
      </w:r>
    </w:p>
    <w:p>
      <w:pPr>
        <w:pStyle w:val="BodyText"/>
      </w:pPr>
      <w:r>
        <w:t xml:space="preserve">本节评估了Paraformer-large在Intel(R) Xeon(R) CPU E5-8269CY @ 2.5GHz单线程核心上的CER和RTF两方面的运行时性能。我们使用两种运行时后端对Paraformer-large的性能进行了评估，如表8所示。为优化性能，FunASR采用了文中提出的自动混合精度量化（AMP）方法。[25, 31]结果表明，AMP量化在不显著降低识别准确率的情况下，将推理速度提升了40%。</w:t>
      </w:r>
    </w:p>
    <w:tbl>
      <w:tblPr>
        <w:tblStyle w:val="Table"/>
        <w:tblW w:type="pct" w:w="0.0"/>
        <w:tblLook w:firstRow="1"/>
      </w:tblPr>
      <w:tblGrid/>
      <w:tr>
        <w:trPr>
          <w:cnfStyle w:firstRow="1"/>
        </w:trPr>
        <w:tc>
          <w:tcPr>
            <w:tcBorders>
              <w:bottom w:val="single"/>
            </w:tcBorders>
            <w:vAlign w:val="bottom"/>
          </w:tcPr>
          <w:p>
            <w:pPr>
              <w:pStyle w:val="Compact"/>
              <w:jc w:val="left"/>
            </w:pPr>
            <w:r>
              <w:t xml:space="preserve">量化</w:t>
            </w:r>
          </w:p>
        </w:tc>
        <w:tc>
          <w:tcPr>
            <w:tcBorders>
              <w:bottom w:val="single"/>
            </w:tcBorders>
            <w:vAlign w:val="bottom"/>
          </w:tcPr>
          <w:p/>
        </w:tc>
        <w:tc>
          <w:tcPr>
            <w:tcBorders>
              <w:bottom w:val="single"/>
            </w:tcBorders>
            <w:vAlign w:val="bottom"/>
          </w:tcPr>
          <w:p>
            <w:pPr>
              <w:pStyle w:val="Compact"/>
              <w:jc w:val="left"/>
            </w:pPr>
            <w:r>
              <w:t xml:space="preserve">Libtorch</w:t>
            </w:r>
          </w:p>
        </w:tc>
        <w:tc>
          <w:tcPr>
            <w:tcBorders>
              <w:bottom w:val="single"/>
            </w:tcBorders>
            <w:vAlign w:val="bottom"/>
          </w:tcPr>
          <w:p>
            <w:pPr>
              <w:pStyle w:val="Compact"/>
              <w:jc w:val="left"/>
            </w:pPr>
            <w:r>
              <w:t xml:space="preserve">Onnx</w:t>
            </w:r>
          </w:p>
        </w:tc>
      </w:tr>
      <w:tr>
        <w:tc>
          <w:p/>
        </w:tc>
        <w:tc>
          <w:p/>
        </w:tc>
        <w:tc>
          <w:p>
            <w:pPr>
              <w:pStyle w:val="Compact"/>
              <w:jc w:val="left"/>
            </w:pPr>
            <w:r>
              <w:t xml:space="preserve">Float32</w:t>
            </w:r>
          </w:p>
        </w:tc>
        <w:tc>
          <w:p>
            <w:pPr>
              <w:pStyle w:val="Compact"/>
              <w:jc w:val="left"/>
            </w:pPr>
            <w:r>
              <w:t xml:space="preserve">Int8</w:t>
            </w:r>
          </w:p>
        </w:tc>
      </w:tr>
      <w:tr>
        <w:tc>
          <w:p>
            <w:pPr>
              <w:pStyle w:val="Compact"/>
              <w:jc w:val="left"/>
            </w:pPr>
            <w:r>
              <w:t xml:space="preserve">RTF</w:t>
            </w:r>
          </w:p>
        </w:tc>
        <w:tc>
          <w:p/>
        </w:tc>
        <w:tc>
          <w:p>
            <w:pPr>
              <w:pStyle w:val="Compact"/>
              <w:jc w:val="left"/>
            </w:pPr>
            <w:r>
              <w:t xml:space="preserve">0.1062</w:t>
            </w:r>
          </w:p>
        </w:tc>
        <w:tc>
          <w:p>
            <w:pPr>
              <w:pStyle w:val="Compact"/>
              <w:jc w:val="left"/>
            </w:pPr>
            <w:r>
              <w:t xml:space="preserve">0.0597</w:t>
            </w:r>
          </w:p>
        </w:tc>
      </w:tr>
      <w:tr>
        <w:tc>
          <w:p>
            <w:pPr>
              <w:pStyle w:val="Compact"/>
              <w:jc w:val="left"/>
            </w:pPr>
            <w:r>
              <w:t xml:space="preserve">CER</w:t>
            </w:r>
          </w:p>
        </w:tc>
        <w:tc>
          <w:p/>
        </w:tc>
        <w:tc>
          <w:p>
            <w:pPr>
              <w:pStyle w:val="Compact"/>
              <w:jc w:val="left"/>
            </w:pPr>
            <w:r>
              <w:t xml:space="preserve">1.95</w:t>
            </w:r>
          </w:p>
        </w:tc>
        <w:tc>
          <w:p>
            <w:pPr>
              <w:pStyle w:val="Compact"/>
              <w:jc w:val="left"/>
            </w:pPr>
            <w:r>
              <w:t xml:space="preserve">1.95</w:t>
            </w:r>
          </w:p>
        </w:tc>
      </w:tr>
    </w:tbl>
    <w:p>
      <w:pPr>
        <w:numPr>
          <w:ilvl w:val="0"/>
          <w:numId w:val="1003"/>
        </w:numPr>
        <w:pStyle w:val="Compact"/>
      </w:pPr>
      <w:r>
        <w:t xml:space="preserve">结论</w:t>
      </w:r>
    </w:p>
    <w:p>
      <w:pPr>
        <w:pStyle w:val="FirstParagraph"/>
      </w:pPr>
      <w:r>
        <w:t xml:space="preserve">本文介绍了FunASR，这是一个旨在弥合语音识别领域学术研究与工业应用之间差距的系统。FunASR提供了在大规模工业语料库上训练的模型，并能够轻松地将这些模型部署到实际应用中。我们提供了多种工业级模型，包括Paraformer-large模型、FSMN-VAD和CT-Transformer模型等。通过开放这些模型，FunASR使研究人员能够轻松地在实际场景中部署它们。</w:t>
      </w:r>
    </w:p>
    <w:p>
      <w:pPr>
        <w:pStyle w:val="Heading2"/>
      </w:pPr>
      <w:bookmarkStart w:id="30" w:name="参考文献"/>
      <w:r>
        <w:t xml:space="preserve">参考文献</w:t>
      </w:r>
      <w:bookmarkEnd w:id="30"/>
    </w:p>
    <w:p>
      <w:pPr>
        <w:pStyle w:val="FirstParagraph"/>
      </w:pPr>
      <w:r>
        <w:t xml:space="preserve">[1]A. Graves、S. Fernández、F. Gomez 和 J. Schmidhuber，</w:t>
      </w:r>
      <w:r>
        <w:t xml:space="preserve">“</w:t>
      </w:r>
      <w:r>
        <w:t xml:space="preserve">连接时序分类：使用循环神经网络对未分割的序列数据进行标注</w:t>
      </w:r>
      <w:r>
        <w:t xml:space="preserve">”</w:t>
      </w:r>
      <w:r>
        <w:t xml:space="preserve">，载于第23届国际机器学习大会论文集。ACM，2006年，页369–376。</w:t>
      </w:r>
    </w:p>
    <w:p>
      <w:pPr>
        <w:pStyle w:val="BodyText"/>
      </w:pPr>
      <w:r>
        <w:t xml:space="preserve">[2]A. Graves、A-r. Mohamed 和 G. Hinton，</w:t>
      </w:r>
      <w:r>
        <w:t xml:space="preserve">“</w:t>
      </w:r>
      <w:r>
        <w:t xml:space="preserve">使用深度循环神经网络的语音识别</w:t>
      </w:r>
      <w:r>
        <w:t xml:space="preserve">”</w:t>
      </w:r>
      <w:r>
        <w:t xml:space="preserve">，载于2013年IEEE国际声学、语音与信号处理会议。IEEE, 2013, 第6645–6649页。</w:t>
      </w:r>
    </w:p>
    <w:p>
      <w:pPr>
        <w:pStyle w:val="BodyText"/>
      </w:pPr>
      <w:r>
        <w:t xml:space="preserve">[3]W. Chan、N. Jaitly、Q. Le 和 O. Vinyals，</w:t>
      </w:r>
      <w:r>
        <w:t xml:space="preserve">“</w:t>
      </w:r>
      <w:r>
        <w:t xml:space="preserve">Listen, attend and spell: A neural network for large vocabulary conversational speech recognition</w:t>
      </w:r>
      <w:r>
        <w:t xml:space="preserve">”</w:t>
      </w:r>
      <w:r>
        <w:t xml:space="preserve">，发表于2016年IEEE国际声学、语音与信号处理会议（ICASSP）。IEEE，2016年，第4960–4964页。</w:t>
      </w:r>
    </w:p>
    <w:p>
      <w:pPr>
        <w:pStyle w:val="BodyText"/>
      </w:pPr>
      <w:r>
        <w:t xml:space="preserve">[4]A. Vaswani、N. Shazeer、N. Parmar、J. Uszkoreit、L. Jones、A. N. Gomez、Ł. Kaiser 和 I. Polosukhin，</w:t>
      </w:r>
      <w:r>
        <w:t xml:space="preserve">“</w:t>
      </w:r>
      <w:r>
        <w:t xml:space="preserve">Attention is all you need</w:t>
      </w:r>
      <w:r>
        <w:t xml:space="preserve">”</w:t>
      </w:r>
      <w:r>
        <w:t xml:space="preserve">，载于《神经信息处理系统进展》，2017年，页5998–6008。</w:t>
      </w:r>
    </w:p>
    <w:p>
      <w:pPr>
        <w:pStyle w:val="BodyText"/>
      </w:pPr>
      <w:r>
        <w:t xml:space="preserve">[5]A. Gulati、J. Qin、C.-C. Chiu、N. Parmar、Y. Zhang、J. Yu、W. Han、S. Wang、Z. Zhang、Y. Wu 等，</w:t>
      </w:r>
      <w:r>
        <w:t xml:space="preserve">“</w:t>
      </w:r>
      <w:r>
        <w:t xml:space="preserve">Conformer: 用于语音识别的卷积增强型transformer。</w:t>
      </w:r>
      <w:r>
        <w:t xml:space="preserve">”</w:t>
      </w:r>
      <w:r>
        <w:t xml:space="preserve"> </w:t>
      </w:r>
      <w:r>
        <w:t xml:space="preserve">Interspeech 2020会议论文集，2020年，第5036–5040页。</w:t>
      </w:r>
    </w:p>
    <w:p>
      <w:pPr>
        <w:pStyle w:val="BodyText"/>
      </w:pPr>
      <w:r>
        <w:t xml:space="preserve">[6]Z. Gao、S. Zhang、M. Lei 和 I. McLoughlin，</w:t>
      </w:r>
      <w:r>
        <w:t xml:space="preserve">“</w:t>
      </w:r>
      <w:r>
        <w:t xml:space="preserve">San-m: 配备记忆的自注意力机制用于端到端语音识别</w:t>
      </w:r>
      <w:r>
        <w:t xml:space="preserve">”</w:t>
      </w:r>
      <w:r>
        <w:t xml:space="preserve">，arXiv 预印本 arXiv:2006.01713，2020年。</w:t>
      </w:r>
    </w:p>
    <w:p>
      <w:pPr>
        <w:pStyle w:val="BodyText"/>
      </w:pPr>
      <w:r>
        <w:t xml:space="preserve">[7]S. Zhang、Z. Gao、H. Luo、M. Lei、J. Gao、Z. Yan 和 L. Xie，</w:t>
      </w:r>
      <w:r>
        <w:t xml:space="preserve">“</w:t>
      </w:r>
      <w:r>
        <w:t xml:space="preserve">面向在线端到端语音识别的流式分块感知多头注意力</w:t>
      </w:r>
      <w:r>
        <w:t xml:space="preserve">”</w:t>
      </w:r>
      <w:r>
        <w:t xml:space="preserve">，arXiv 预印本 arXiv:2006.01712，2020。</w:t>
      </w:r>
    </w:p>
    <w:p>
      <w:pPr>
        <w:pStyle w:val="BodyText"/>
      </w:pPr>
      <w:r>
        <w:t xml:space="preserve">[8]Z. Gao、S. Zhang、M. Lei 和 I. McLoughlin，</w:t>
      </w:r>
      <w:r>
        <w:t xml:space="preserve">“</w:t>
      </w:r>
      <w:r>
        <w:t xml:space="preserve">Universal ASR：使用单一编码器-解码器模型统一流式与非流式ASR</w:t>
      </w:r>
      <w:r>
        <w:t xml:space="preserve">”</w:t>
      </w:r>
      <w:r>
        <w:t xml:space="preserve">，arXiv 预印本 arXiv:2010.14909，2020。</w:t>
      </w:r>
    </w:p>
    <w:p>
      <w:pPr>
        <w:pStyle w:val="BodyText"/>
      </w:pPr>
      <w:r>
        <w:t xml:space="preserve">[9]M. Radfar、R. Barnwal、R. V. Swaminathan、F.-J. Chang、G. P. Strimel、N. Susani 和 A. Mouchtaris，</w:t>
      </w:r>
      <w:r>
        <w:t xml:space="preserve">“</w:t>
      </w:r>
      <w:r>
        <w:t xml:space="preserve">CROWN-HT：用于流式语音识别的卷积增强型循环神经网络换能器</w:t>
      </w:r>
      <w:r>
        <w:t xml:space="preserve">”</w:t>
      </w:r>
      <w:r>
        <w:t xml:space="preserve">，见 Interspeech 2022 论文集，2022 年，第 4431–4435 页。</w:t>
      </w:r>
    </w:p>
    <w:p>
      <w:pPr>
        <w:pStyle w:val="BodyText"/>
      </w:pPr>
      <w:r>
        <w:t xml:space="preserve">[10]I. Sklyar、A. Pivovar 和 C. Oenderfor，</w:t>
      </w:r>
      <w:r>
        <w:t xml:space="preserve">“</w:t>
      </w:r>
      <w:r>
        <w:t xml:space="preserve">Separator-Transducer-Segmenter：多说话者聚会语音的流式识别与分割</w:t>
      </w:r>
      <w:r>
        <w:t xml:space="preserve">”</w:t>
      </w:r>
      <w:r>
        <w:t xml:space="preserve">，发表于 Interspeech 2022 会议论文集，2022 年，第 4451–4455 页。</w:t>
      </w:r>
    </w:p>
    <w:p>
      <w:pPr>
        <w:pStyle w:val="BodyText"/>
      </w:pPr>
      <w:r>
        <w:t xml:space="preserve">[11]C.-T. Do、M. Li 和 R. Doddiapla，</w:t>
      </w:r>
      <w:r>
        <w:t xml:space="preserve">“</w:t>
      </w:r>
      <w:r>
        <w:t xml:space="preserve">多假设RNN-Transducers用于神经转导器的无监督微调和自训练</w:t>
      </w:r>
      <w:r>
        <w:t xml:space="preserve">”</w:t>
      </w:r>
      <w:r>
        <w:t xml:space="preserve">，收录于 Interspeech 2022 论文集，2022年，页码4446–4450。</w:t>
      </w:r>
    </w:p>
    <w:p>
      <w:pPr>
        <w:pStyle w:val="BodyText"/>
      </w:pPr>
      <w:r>
        <w:t xml:space="preserve">[12]J. Lee、L. Lee 和 S. Watanabe，</w:t>
      </w:r>
      <w:r>
        <w:t xml:space="preserve">“</w:t>
      </w:r>
      <w:r>
        <w:t xml:space="preserve">Memory-Efficient Training of RNN-Transducer with Sampled Softmax</w:t>
      </w:r>
      <w:r>
        <w:t xml:space="preserve">”</w:t>
      </w:r>
      <w:r>
        <w:t xml:space="preserve">，发表于 Interspeech 2022 会议论文集，2022 年，第 4411–4415 页。</w:t>
      </w:r>
    </w:p>
    <w:p>
      <w:pPr>
        <w:pStyle w:val="BodyText"/>
      </w:pPr>
      <w:r>
        <w:t xml:space="preserve">[13]K. Zhao、H. Nguyen、A. Jain、N. Susani、A. Mouchtaris、L. Gupta 和 M. Zhao，</w:t>
      </w:r>
      <w:r>
        <w:t xml:space="preserve">“</w:t>
      </w:r>
      <w:r>
        <w:t xml:space="preserve">通过模块替换进行知识蒸馏以实现基于循环神经网络转导器的自动语音识别</w:t>
      </w:r>
      <w:r>
        <w:t xml:space="preserve">”</w:t>
      </w:r>
      <w:r>
        <w:t xml:space="preserve">，发表于 Interspeech 2022 会议，2022 年，第 4436–4440 页。</w:t>
      </w:r>
    </w:p>
    <w:p>
      <w:pPr>
        <w:pStyle w:val="BodyText"/>
      </w:pPr>
      <w:r>
        <w:t xml:space="preserve">[14]S. Watanabe、T. Hori、S. Karita、T. Hayashi、J. Nishitoba、Y. Unno、N. E. Y. Soplin、J. Heymann、M. Wiesner、N. Chen等人，</w:t>
      </w:r>
      <w:r>
        <w:t xml:space="preserve">“</w:t>
      </w:r>
      <w:r>
        <w:t xml:space="preserve">Espnet：端到端语音处理工具包</w:t>
      </w:r>
      <w:r>
        <w:t xml:space="preserve">”</w:t>
      </w:r>
      <w:r>
        <w:t xml:space="preserve">，arXiv预印本 arXiv:1804.00015，2018年。</w:t>
      </w:r>
    </w:p>
    <w:p>
      <w:pPr>
        <w:pStyle w:val="BodyText"/>
      </w:pPr>
      <w:r>
        <w:t xml:space="preserve">[15]Z. Yao, D. Wu, X. Wang, B. Zhang, F. Yu, C. Yang, Z. Peng, X. Chen, L. Xie, 和 X. Lei，</w:t>
      </w:r>
      <w:r>
        <w:t xml:space="preserve">“</w:t>
      </w:r>
      <w:r>
        <w:t xml:space="preserve">WeNet: 面向生产的流式及非流式端到端语音识别工具包</w:t>
      </w:r>
      <w:r>
        <w:t xml:space="preserve">”</w:t>
      </w:r>
      <w:r>
        <w:t xml:space="preserve">，arXiv 预印本 arXiv:2102.01547，2021年。</w:t>
      </w:r>
    </w:p>
    <w:p>
      <w:pPr>
        <w:pStyle w:val="BodyText"/>
      </w:pPr>
      <w:r>
        <w:t xml:space="preserve">[16]H. Zhang、T. Yuan、J. Chen、X. Li、R. Zheng、Y. Huang、X. Chen、E. Gong、Z. Chen、X. Hu等，</w:t>
      </w:r>
      <w:r>
        <w:t xml:space="preserve">“</w:t>
      </w:r>
      <w:r>
        <w:t xml:space="preserve">Paddlespeech：一个易用的全能语音工具包</w:t>
      </w:r>
      <w:r>
        <w:t xml:space="preserve">”</w:t>
      </w:r>
      <w:r>
        <w:t xml:space="preserve">，arXiv预印本 arXiv:2205.12007, 2022。</w:t>
      </w:r>
    </w:p>
    <w:p>
      <w:pPr>
        <w:pStyle w:val="BodyText"/>
      </w:pPr>
      <w:r>
        <w:t xml:space="preserve">[17]W. Kang, L. Guo, F. Kuang, L. Lin, M. Luo, Z. Yao, X. Yang, P. Zelasco 和 D. Povey，</w:t>
      </w:r>
      <w:r>
        <w:t xml:space="preserve">“</w:t>
      </w:r>
      <w:r>
        <w:t xml:space="preserve">用于转导器的快速并行解码</w:t>
      </w:r>
      <w:r>
        <w:t xml:space="preserve">”</w:t>
      </w:r>
      <w:r>
        <w:t xml:space="preserve">，arXiv 预印本 arXiv:2211.00485，2022 年。</w:t>
      </w:r>
    </w:p>
    <w:p>
      <w:pPr>
        <w:pStyle w:val="BodyText"/>
      </w:pPr>
      <w:r>
        <w:t xml:space="preserve">[18]高志、张三、I. McLoughlin 和闫志，</w:t>
      </w:r>
      <w:r>
        <w:t xml:space="preserve">“</w:t>
      </w:r>
      <w:r>
        <w:t xml:space="preserve">Paraformer: 快速而准确的并行Transformer用于非自回归端到端语音识别，</w:t>
      </w:r>
      <w:r>
        <w:t xml:space="preserve">”</w:t>
      </w:r>
      <w:r>
        <w:t xml:space="preserve"> </w:t>
      </w:r>
      <w:r>
        <w:t xml:space="preserve">arXiv预印本 arXiv:2206.08317，2022年。</w:t>
      </w:r>
    </w:p>
    <w:p>
      <w:pPr>
        <w:pStyle w:val="BodyText"/>
      </w:pPr>
      <w:r>
        <w:t xml:space="preserve">[19]H. Bu、B. Du、X. Na、B. Wu 和 H. Zheng，</w:t>
      </w:r>
      <w:r>
        <w:t xml:space="preserve">“</w:t>
      </w:r>
      <w:r>
        <w:t xml:space="preserve">Aishell-1：一个开源的普通话语音语料库及语音识别基线</w:t>
      </w:r>
      <w:r>
        <w:t xml:space="preserve">”</w:t>
      </w:r>
      <w:r>
        <w:t xml:space="preserve">，收录于2017年第20届国际语音数据库与语音I/O系统及评估东方分会（O-COCOSDA）会议。IEEE，2017年，页码1–5。</w:t>
      </w:r>
    </w:p>
    <w:p>
      <w:pPr>
        <w:pStyle w:val="BodyText"/>
      </w:pPr>
      <w:r>
        <w:t xml:space="preserve">[20]J. Du、X. Na、X. Liu 和 H. Bu，</w:t>
      </w:r>
      <w:r>
        <w:t xml:space="preserve">“</w:t>
      </w:r>
      <w:r>
        <w:t xml:space="preserve">Aishell-2：将普通话ASR研究转化为工业规模，</w:t>
      </w:r>
      <w:r>
        <w:t xml:space="preserve">”</w:t>
      </w:r>
      <w:r>
        <w:t xml:space="preserve">arXiv预印本 arXiv:1808.10583，2018。</w:t>
      </w:r>
    </w:p>
    <w:p>
      <w:pPr>
        <w:pStyle w:val="BodyText"/>
      </w:pPr>
      <w:r>
        <w:t xml:space="preserve">[21]B. Zhang、H. Lv、P. Guo、Q. Shao、C. Yang、L. Xie、X. Xu、H. Bu、X. Chen、C. Zeng 等人，</w:t>
      </w:r>
      <w:r>
        <w:t xml:space="preserve">“</w:t>
      </w:r>
      <w:r>
        <w:t xml:space="preserve">WenetSpeech: 一个包含10000+小时、多领域的普通话语音识别语料库</w:t>
      </w:r>
      <w:r>
        <w:t xml:space="preserve">”</w:t>
      </w:r>
      <w:r>
        <w:t xml:space="preserve">，发表于ICASSP 2022——2022年IEEE国际声学、语音与信号处理会议（ICASSP），IEEE，2022年，第6182–6186页。</w:t>
      </w:r>
    </w:p>
    <w:p>
      <w:pPr>
        <w:pStyle w:val="BodyText"/>
      </w:pPr>
      <w:r>
        <w:t xml:space="preserve">[22]V. Panayotov、G. Chen、D. Povey 和 S. Khudanpur，</w:t>
      </w:r>
      <w:r>
        <w:t xml:space="preserve">“</w:t>
      </w:r>
      <w:r>
        <w:t xml:space="preserve">Librispeech：一个基于公有领域有声读物的ASR语料库</w:t>
      </w:r>
      <w:r>
        <w:t xml:space="preserve">”</w:t>
      </w:r>
      <w:r>
        <w:t xml:space="preserve">，载于2015年IEEE声学、语音与信号处理国际会议（ICASSP）。IEEE，2015年，第5206-5210页。</w:t>
      </w:r>
    </w:p>
    <w:p>
      <w:pPr>
        <w:pStyle w:val="BodyText"/>
      </w:pPr>
      <w:r>
        <w:t xml:space="preserve">[23]S. Zhang、M. Lei、Z. Yan 和 L. Dai，</w:t>
      </w:r>
      <w:r>
        <w:t xml:space="preserve">“</w:t>
      </w:r>
      <w:r>
        <w:t xml:space="preserve">Deep-Sam 用于大词汇量连续语音识别</w:t>
      </w:r>
      <w:r>
        <w:t xml:space="preserve">”</w:t>
      </w:r>
      <w:r>
        <w:t xml:space="preserve">，载于2018年IEEE声学、语音与信号处理国际会议（ICASSP），IEEE，2018年，第5869–5873页。</w:t>
      </w:r>
    </w:p>
    <w:p>
      <w:pPr>
        <w:pStyle w:val="BodyText"/>
      </w:pPr>
      <w:r>
        <w:t xml:space="preserve">[24]Q. Chen、M. Chen、B. Li 和 W. Wang，</w:t>
      </w:r>
      <w:r>
        <w:t xml:space="preserve">“</w:t>
      </w:r>
      <w:r>
        <w:t xml:space="preserve">可控时延Transformer用于实时标点预测与非流利检测</w:t>
      </w:r>
      <w:r>
        <w:t xml:space="preserve">”</w:t>
      </w:r>
      <w:r>
        <w:t xml:space="preserve">，发表于ICASSP 2020—2020年IEEE声学、语音与信号处理国际会议（ICASSP）。IEEE, 2020, 第8069–8073页。</w:t>
      </w:r>
    </w:p>
    <w:p>
      <w:pPr>
        <w:pStyle w:val="BodyText"/>
      </w:pPr>
      <w:r>
        <w:t xml:space="preserve">[25]Z. Gao、Y. Yao、S. Zhang、J. Yang、M. Lei 和 I. McLoughlin，</w:t>
      </w:r>
      <w:r>
        <w:t xml:space="preserve">“</w:t>
      </w:r>
      <w:r>
        <w:t xml:space="preserve">智能设备用极低占用空间的端到端ASR系统</w:t>
      </w:r>
      <w:r>
        <w:t xml:space="preserve">”</w:t>
      </w:r>
      <w:r>
        <w:t xml:space="preserve">，见Interspeech 2021论文集，2021年，页4548-4552。</w:t>
      </w:r>
    </w:p>
    <w:p>
      <w:pPr>
        <w:pStyle w:val="BodyText"/>
      </w:pPr>
      <w:r>
        <w:t xml:space="preserve">[26]L. Dong 和 B. Xu，</w:t>
      </w:r>
      <w:r>
        <w:t xml:space="preserve">“</w:t>
      </w:r>
      <w:r>
        <w:t xml:space="preserve">CTC：面向端到端语音识别的连续积分-发放模型</w:t>
      </w:r>
      <w:r>
        <w:t xml:space="preserve">”</w:t>
      </w:r>
      <w:r>
        <w:t xml:space="preserve">，发表于 ICASSP 2020-2020 IEEE 国际声学、语音与信号处理会议（ICASSP）。IEEE，2020，第6079-6083页。</w:t>
      </w:r>
    </w:p>
    <w:p>
      <w:pPr>
        <w:pStyle w:val="BodyText"/>
      </w:pPr>
      <w:r>
        <w:t xml:space="preserve">[27]X. Shi、Y. Chen、S. Zhang 和 Z. Yan，</w:t>
      </w:r>
      <w:r>
        <w:t xml:space="preserve">“</w:t>
      </w:r>
      <w:r>
        <w:t xml:space="preserve">在非自回归端到端ASR模型中实现时间戳预测与识别</w:t>
      </w:r>
      <w:r>
        <w:t xml:space="preserve">”</w:t>
      </w:r>
      <w:r>
        <w:t xml:space="preserve">，arXiv预印本 arXiv:2301.12343，2023。</w:t>
      </w:r>
    </w:p>
    <w:p>
      <w:pPr>
        <w:pStyle w:val="BodyText"/>
      </w:pPr>
      <w:r>
        <w:t xml:space="preserve">[28]D. Povey, A. Ghoshal, G. Boulianne, L. Burget, O. Glembek, N. Goel, M. Hannemann, P. Motlícek, Y. Qian, P. Schwarz 等人，</w:t>
      </w:r>
      <w:r>
        <w:t xml:space="preserve">“</w:t>
      </w:r>
      <w:r>
        <w:t xml:space="preserve">Kaldi语音识别工具包</w:t>
      </w:r>
      <w:r>
        <w:t xml:space="preserve">”</w:t>
      </w:r>
      <w:r>
        <w:t xml:space="preserve">，发表于IEEE 2011自动语音识别与理解研讨会，编号CONF。IEEE信号处理学会，2011年。</w:t>
      </w:r>
    </w:p>
    <w:p>
      <w:pPr>
        <w:pStyle w:val="BodyText"/>
      </w:pPr>
      <w:r>
        <w:t xml:space="preserve">[29]G. Pundak、T. N. Sainath、R. Prabhavalkar、A. Kannan 和 D. Zhao，</w:t>
      </w:r>
      <w:r>
        <w:t xml:space="preserve">“</w:t>
      </w:r>
      <w:r>
        <w:t xml:space="preserve">Deep context: 端到端上下文语音识别</w:t>
      </w:r>
      <w:r>
        <w:t xml:space="preserve">”</w:t>
      </w:r>
      <w:r>
        <w:t xml:space="preserve">，载于2018年IEEE口语语言技术研讨会（SLT），IEEE，2018，第418–425页。</w:t>
      </w:r>
    </w:p>
    <w:p>
      <w:pPr>
        <w:pStyle w:val="BodyText"/>
      </w:pPr>
      <w:r>
        <w:t xml:space="preserve">[30]B. Zhang、D. Wu、Z. Feng、X. Song、Z. Yao、H. Lv、L. Xie、C. Yang、P. Fan 和 J. Niu，</w:t>
      </w:r>
      <w:r>
        <w:t xml:space="preserve">“</w:t>
      </w:r>
      <w:r>
        <w:t xml:space="preserve">Wenet 2.0: 更高效的端到端语音识别工具包</w:t>
      </w:r>
      <w:r>
        <w:t xml:space="preserve">”</w:t>
      </w:r>
      <w:r>
        <w:t xml:space="preserve">，arXiv 预印本 arXiv:2301.15455，2022。</w:t>
      </w:r>
    </w:p>
    <w:p>
      <w:pPr>
        <w:pStyle w:val="BodyText"/>
      </w:pPr>
      <w:r>
        <w:t xml:space="preserve">[31]K. Zhu, W. Zhao, Z. Zheng, T. Guo, P. Zhao, J. Bai, J. Yang, X. Liu, L. Bian, 和 W. Lin，</w:t>
      </w:r>
      <w:r>
        <w:t xml:space="preserve">“</w:t>
      </w:r>
      <w:r>
        <w:t xml:space="preserve">Disc：面向机器学习工作负载的动态形状编译器</w:t>
      </w:r>
      <w:r>
        <w:t xml:space="preserve">”</w:t>
      </w:r>
      <w:r>
        <w:t xml:space="preserve">，载于《第1届机器学习与系统研讨会论文集》，2021年，第89-95页。</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0_0.png" TargetMode="External" /></Relationships>
</file>

<file path=word/_rels/footnotes.xml.rels><?xml version="1.0" encoding="UTF-8"?>
<Relationships xmlns="http://schemas.openxmlformats.org/package/2006/relationships"><Relationship Type="http://schemas.openxmlformats.org/officeDocument/2006/relationships/hyperlink" Id="rId22" Target="0_0.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2025-06-19T02:45:50Z</dcterms:created>
  <dcterms:modified xsi:type="dcterms:W3CDTF">2025-06-19T02:45:50Z</dcterms:modified>
</cp:coreProperties>
</file>

<file path=docProps/custom.xml><?xml version="1.0" encoding="utf-8"?>
<Properties xmlns="http://schemas.openxmlformats.org/officeDocument/2006/custom-properties" xmlns:vt="http://schemas.openxmlformats.org/officeDocument/2006/docPropsVTypes"/>
</file>