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rFonts w:ascii="Hiragino Sans GB" w:hAnsi="Hiragino Sans GB" w:eastAsia="Hiragino Sans GB"/>
          <w:b/>
          <w:i w:val="0"/>
          <w:color w:val="7A5A00"/>
          <w:sz w:val="20"/>
        </w:rPr>
        <w:t>操作手册 · PERFORMANCE TESTING</w:t>
      </w:r>
    </w:p>
    <w:p>
      <w:pPr>
        <w:spacing w:before="280" w:after="200"/>
        <w:jc w:val="center"/>
      </w:pPr>
      <w:r>
        <w:rPr>
          <w:rFonts w:ascii="Hiragino Sans GB" w:hAnsi="Hiragino Sans GB" w:eastAsia="Hiragino Sans GB"/>
          <w:b/>
          <w:i w:val="0"/>
          <w:color w:val="203748"/>
          <w:sz w:val="58"/>
        </w:rPr>
        <w:t>API 性能测试使用说明</w:t>
      </w:r>
    </w:p>
    <w:p>
      <w:pPr>
        <w:spacing w:after="520"/>
        <w:jc w:val="center"/>
      </w:pPr>
      <w:r>
        <w:rPr>
          <w:rFonts w:ascii="Hiragino Sans GB" w:hAnsi="Hiragino Sans GB" w:eastAsia="Hiragino Sans GB"/>
          <w:b w:val="0"/>
          <w:i w:val="0"/>
          <w:color w:val="2B5163"/>
          <w:sz w:val="30"/>
        </w:rPr>
        <w:t>从节点校准、场景设计到报告与 AI 诊断</w:t>
      </w:r>
    </w:p>
    <w:p>
      <w:pPr>
        <w:jc w:val="center"/>
      </w:pPr>
      <w:r>
        <w:rPr>
          <w:rFonts w:ascii="Hiragino Sans GB" w:hAnsi="Hiragino Sans GB" w:eastAsia="Hiragino Sans GB"/>
          <w:b/>
          <w:i w:val="0"/>
          <w:color w:val="7A5A00"/>
          <w:sz w:val="21"/>
        </w:rPr>
        <w:t>节点校准  ·  负载模型  ·  指标解读  ·  AI 诊断</w:t>
      </w:r>
    </w:p>
    <w:p>
      <w:pPr>
        <w:spacing w:after="1560"/>
      </w:pPr>
    </w:p>
    <w:p>
      <w:pPr>
        <w:jc w:val="center"/>
      </w:pPr>
      <w:r>
        <w:rPr>
          <w:rFonts w:ascii="Hiragino Sans GB" w:hAnsi="Hiragino Sans GB" w:eastAsia="Hiragino Sans GB"/>
          <w:b w:val="0"/>
          <w:i/>
          <w:color w:val="667085"/>
          <w:sz w:val="20"/>
        </w:rPr>
        <w:t>V1.0 · 2026-09-03 · 适用压测 Agent 0.1.1 及以上</w:t>
      </w:r>
    </w:p>
    <w:p>
      <w:pPr>
        <w:spacing w:before="480"/>
        <w:jc w:val="center"/>
      </w:pPr>
      <w:r>
        <w:rPr>
          <w:rFonts w:ascii="Hiragino Sans GB" w:hAnsi="Hiragino Sans GB" w:eastAsia="Hiragino Sans GB"/>
          <w:b w:val="0"/>
          <w:i w:val="0"/>
          <w:color w:val="334155"/>
          <w:sz w:val="21"/>
        </w:rPr>
        <w:t>目标：让第一次接触压测的同事也能安全完成一次真实、可解释、可复现的性能运行。</w:t>
      </w:r>
    </w:p>
    <w:p>
      <w:r>
        <w:br w:type="page"/>
      </w:r>
    </w:p>
    <w:p>
      <w:pPr>
        <w:pStyle w:val="Heading1"/>
      </w:pPr>
      <w:r>
        <w:t>使用路径</w:t>
      </w:r>
    </w:p>
    <w:p>
      <w:r>
        <w:t>建议按下面顺序阅读和操作：</w:t>
      </w:r>
    </w:p>
    <w:p>
      <w:pPr>
        <w:spacing w:after="80" w:line="300" w:lineRule="auto"/>
        <w:numPr>
          <w:ilvl w:val="0"/>
          <w:numId w:val="10"/>
        </w:numPr>
      </w:pPr>
      <w:r>
        <w:t>先读第 2–4 节，理解压测目的、VU 与容量。</w:t>
      </w:r>
    </w:p>
    <w:p>
      <w:pPr>
        <w:spacing w:after="80" w:line="300" w:lineRule="auto"/>
        <w:numPr>
          <w:ilvl w:val="0"/>
          <w:numId w:val="10"/>
        </w:numPr>
      </w:pPr>
      <w:r>
        <w:t>按第 5 节让节点校准有效。</w:t>
      </w:r>
    </w:p>
    <w:p>
      <w:pPr>
        <w:spacing w:after="80" w:line="300" w:lineRule="auto"/>
        <w:numPr>
          <w:ilvl w:val="0"/>
          <w:numId w:val="10"/>
        </w:numPr>
      </w:pPr>
      <w:r>
        <w:t>按第 7–8 节建立场景并完成第一次安全运行。</w:t>
      </w:r>
    </w:p>
    <w:p>
      <w:pPr>
        <w:spacing w:after="80" w:line="300" w:lineRule="auto"/>
        <w:numPr>
          <w:ilvl w:val="0"/>
          <w:numId w:val="10"/>
        </w:numPr>
      </w:pPr>
      <w:r>
        <w:t>按第 9–12 节读报告、判断 AI 建议和处理故障。</w:t>
      </w:r>
    </w:p>
    <w:p>
      <w:pPr>
        <w:spacing w:after="80" w:line="300" w:lineRule="auto"/>
        <w:numPr>
          <w:ilvl w:val="0"/>
          <w:numId w:val="10"/>
        </w:numPr>
      </w:pPr>
      <w:r>
        <w:t>正式扩容与多节点运行前读第 13–16 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20"/>
              </w:rPr>
              <w:t xml:space="preserve">要点  </w:t>
            </w: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20"/>
              </w:rPr>
              <w:t>本手册以平台页面中的中文名称为主，同时保留必要的 k6 英文术语，方便排查日志和查阅官方文档。</w:t>
            </w:r>
          </w:p>
        </w:tc>
      </w:tr>
    </w:tbl>
    <w:p>
      <w:pPr>
        <w:spacing w:after="20"/>
      </w:pPr>
    </w:p>
    <w:p>
      <w:pPr>
        <w:pStyle w:val="Heading1"/>
      </w:pPr>
      <w:r>
        <w:t>先看结论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20"/>
              </w:rPr>
              <w:t xml:space="preserve">要点  </w:t>
            </w: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20"/>
              </w:rPr>
              <w:t>功能自动化回答“单次请求或业务链路是否正确”；性能测试回答“在一定并发或吞吐下，系统是否仍然正确、够快、稳定，以及容量拐点在哪里”。两者必须同时存在，压测不能替代每天运行的接口基线。</w:t>
            </w:r>
          </w:p>
        </w:tc>
      </w:tr>
    </w:tbl>
    <w:p>
      <w:pPr>
        <w:spacing w:after="20"/>
      </w:pPr>
    </w:p>
    <w:p>
      <w:r>
        <w:t>第一次使用建议选择无副作用的只读接口，使用“固定吞吐”，目标 1 次完整链路/秒，持续 10 秒，只选专用首选节点。先完成连通性与业务预检，再观察报告。真实打印、支付、短信、删除和高成本 AI 接口不要作为入门压测对象。</w:t>
      </w:r>
    </w:p>
    <w:p>
      <w:pPr>
        <w:pStyle w:val="Heading1"/>
      </w:pPr>
      <w:r>
        <w:t>1. 平台四个入口与完整流程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2"/>
        <w:gridCol w:w="3744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入口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解决的问题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完成标志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性能场景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把接口或多步骤业务链路、数据和断言保存为不可变版本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版本已保存，预检可重复通过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压测节点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注册 Agent、设置调度级别、校准并查看可用容量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心跳正常且“校准有效”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压测执行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选择场景版本、环境、模型、目标、时长、节点和阈值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任务完成或停止，所有分片有明确终态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性能报告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查看负载目标、响应时间、错误、丢弃、资源、阈值与 AI 建议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确定性报告可用，AI 诊断有证据引用</w:t>
            </w:r>
          </w:p>
        </w:tc>
      </w:tr>
    </w:tbl>
    <w:p>
      <w:pPr>
        <w:spacing w:before="80" w:after="80"/>
      </w:pPr>
      <w:r/>
    </w:p>
    <w:p>
      <w:pPr>
        <w:spacing w:after="80" w:line="300" w:lineRule="auto"/>
        <w:numPr>
          <w:ilvl w:val="0"/>
          <w:numId w:val="11"/>
        </w:numPr>
      </w:pPr>
      <w:r>
        <w:t>先在“压测节点”确认节点在线、版本正确并校准有效。</w:t>
      </w:r>
    </w:p>
    <w:p>
      <w:pPr>
        <w:spacing w:after="80" w:line="300" w:lineRule="auto"/>
        <w:numPr>
          <w:ilvl w:val="0"/>
          <w:numId w:val="11"/>
        </w:numPr>
      </w:pPr>
      <w:r>
        <w:t>在“性能场景”选择接口，配置变量、数据集、提取规则、业务断言和清理步骤，保存版本。</w:t>
      </w:r>
    </w:p>
    <w:p>
      <w:pPr>
        <w:spacing w:after="80" w:line="300" w:lineRule="auto"/>
        <w:numPr>
          <w:ilvl w:val="0"/>
          <w:numId w:val="11"/>
        </w:numPr>
      </w:pPr>
      <w:r>
        <w:t>在“压测执行”创建草稿，选择环境、负载模型、目标值、时长、节点和阈值。</w:t>
      </w:r>
    </w:p>
    <w:p>
      <w:pPr>
        <w:spacing w:after="80" w:line="300" w:lineRule="auto"/>
        <w:numPr>
          <w:ilvl w:val="0"/>
          <w:numId w:val="11"/>
        </w:numPr>
      </w:pPr>
      <w:r>
        <w:t>执行连通性检查与单链路预检。预检不通过时先修场景或环境，不要直接加压。</w:t>
      </w:r>
    </w:p>
    <w:p>
      <w:pPr>
        <w:spacing w:after="80" w:line="300" w:lineRule="auto"/>
        <w:numPr>
          <w:ilvl w:val="0"/>
          <w:numId w:val="11"/>
        </w:numPr>
      </w:pPr>
      <w:r>
        <w:t>启动后观察目标吞吐、P95、错误率、丢弃迭代和 Agent 资源，必要时停止。</w:t>
      </w:r>
    </w:p>
    <w:p>
      <w:pPr>
        <w:spacing w:after="80" w:line="300" w:lineRule="auto"/>
        <w:numPr>
          <w:ilvl w:val="0"/>
          <w:numId w:val="11"/>
        </w:numPr>
      </w:pPr>
      <w:r>
        <w:t>运行结束后先读确定性报告，再读 AI 诊断；根据建议设计下一轮，而不是盲目把压力翻倍。</w:t>
      </w:r>
    </w:p>
    <w:p>
      <w:pPr>
        <w:pStyle w:val="Heading1"/>
      </w:pPr>
      <w:r>
        <w:t>2. 为什么要做压测</w:t>
      </w:r>
    </w:p>
    <w:p>
      <w:pPr>
        <w:spacing w:after="80" w:line="300" w:lineRule="auto"/>
        <w:numPr>
          <w:ilvl w:val="0"/>
          <w:numId w:val="12"/>
        </w:numPr>
      </w:pPr>
      <w:r>
        <w:t>容量验证：确认给定机器和部署配置能稳定承受多少并发用户或每秒业务链路。</w:t>
      </w:r>
    </w:p>
    <w:p>
      <w:pPr>
        <w:spacing w:after="80" w:line="300" w:lineRule="auto"/>
        <w:numPr>
          <w:ilvl w:val="0"/>
          <w:numId w:val="12"/>
        </w:numPr>
      </w:pPr>
      <w:r>
        <w:t>拐点定位：找到吞吐不再增长、P95/P99 明显变差、错误或丢弃开始上升的阶段。</w:t>
      </w:r>
    </w:p>
    <w:p>
      <w:pPr>
        <w:spacing w:after="80" w:line="300" w:lineRule="auto"/>
        <w:numPr>
          <w:ilvl w:val="0"/>
          <w:numId w:val="12"/>
        </w:numPr>
      </w:pPr>
      <w:r>
        <w:t>稳定性验证：在预计日常或峰值负载下持续运行，发现连接池、内存、队列或外部依赖的累积问题。</w:t>
      </w:r>
    </w:p>
    <w:p>
      <w:pPr>
        <w:spacing w:after="80" w:line="300" w:lineRule="auto"/>
        <w:numPr>
          <w:ilvl w:val="0"/>
          <w:numId w:val="12"/>
        </w:numPr>
      </w:pPr>
      <w:r>
        <w:t>版本回归：同场景、同环境、同负载模型对比历史运行，识别性能退化。</w:t>
      </w:r>
    </w:p>
    <w:p>
      <w:pPr>
        <w:spacing w:after="80" w:line="300" w:lineRule="auto"/>
        <w:numPr>
          <w:ilvl w:val="0"/>
          <w:numId w:val="12"/>
        </w:numPr>
      </w:pPr>
      <w:r>
        <w:t>发布决策：用阈值与证据判断是否达到既定目标，而不是只凭“请求大多成功”。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20"/>
              </w:rPr>
              <w:t xml:space="preserve">要点  </w:t>
            </w: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20"/>
              </w:rPr>
              <w:t>不要先追求“能打多高”。先定义业务目标，例如“核心查询链路 20 次/秒、P95 不超过 800 ms、HTTP 错误率低于 0.1%、业务失败率为 0”。没有目标的压测只能产生一堆难以解释的数字。</w:t>
            </w:r>
          </w:p>
        </w:tc>
      </w:tr>
    </w:tbl>
    <w:p>
      <w:pPr>
        <w:spacing w:after="20"/>
      </w:pPr>
    </w:p>
    <w:p>
      <w:pPr>
        <w:pStyle w:val="Heading1"/>
      </w:pPr>
      <w:r>
        <w:t>3. VU、QPS 与可用容量怎么理解</w:t>
      </w:r>
    </w:p>
    <w:p>
      <w:pPr>
        <w:pStyle w:val="Heading2"/>
      </w:pPr>
      <w:r>
        <w:t>3.1 三个量不是一回事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2"/>
        <w:gridCol w:w="3744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概念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中文解释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常见误区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VU（Virtual User）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虚拟用户；一个会循环执行完整场景的并发执行单元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100 VU 不等于 100 QPS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Iteration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一次完整链路；可能包含多个接口、等待、提取和断言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一次链路不一定只有一个 HTTP 请求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RPS/QPS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每秒实际 HTTP 请求数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链路内有 3 个请求时，1 次/秒链路可能接近 3 RPS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到达率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每秒开始多少次完整链路迭代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平台“固定吞吐”的目标是链路次/秒，不是每个接口的 QPS</w:t>
            </w:r>
          </w:p>
        </w:tc>
      </w:tr>
    </w:tbl>
    <w:p>
      <w:pPr>
        <w:spacing w:before="80" w:after="80"/>
      </w:pPr>
      <w:r/>
    </w:p>
    <w:p>
      <w:r>
        <w:t>固定并发是闭合模型：每个 VU 完成上一轮后再开始下一轮，因此响应越慢，实际吞吐越低。固定吞吐是开放模型：平台尽量按目标速率启动链路；当预分配 VU 不够时会出现 dropped_iterations（丢弃迭代），说明发压端无法按计划启动全部链路。</w:t>
      </w:r>
    </w:p>
    <w:p>
      <w:pPr>
        <w:pStyle w:val="Heading2"/>
      </w:pPr>
      <w:r>
        <w:t>3.2 页面“可用容量”的计算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6FF"/>
          </w:tcPr>
          <w:p>
            <w:r>
              <w:rPr>
                <w:rFonts w:ascii="Consolas" w:hAnsi="Consolas" w:eastAsia="Hiragino Sans GB"/>
                <w:b/>
                <w:i w:val="0"/>
                <w:color w:val="1F4D78"/>
                <w:sz w:val="20"/>
              </w:rPr>
              <w:t>单节点有效容量 = min（本机硬上限，平台软上限，有效校准容量）</w:t>
            </w:r>
            <w:r>
              <w:br/>
            </w:r>
            <w:r>
              <w:rPr>
                <w:rFonts w:ascii="Consolas" w:hAnsi="Consolas" w:eastAsia="Hiragino Sans GB"/>
                <w:b/>
                <w:i w:val="0"/>
                <w:color w:val="1F4D78"/>
                <w:sz w:val="20"/>
              </w:rPr>
              <w:t>单节点可用容量 = max（0，单节点有效容量 − 当前占用）</w:t>
            </w:r>
            <w:r>
              <w:br/>
            </w:r>
            <w:r>
              <w:rPr>
                <w:rFonts w:ascii="Consolas" w:hAnsi="Consolas" w:eastAsia="Hiragino Sans GB"/>
                <w:b/>
                <w:i w:val="0"/>
                <w:color w:val="1F4D78"/>
                <w:sz w:val="20"/>
              </w:rPr>
              <w:t>平台汇总可用容量 = 所有在线、未停用、校准有效且可调度节点的可用容量之和</w:t>
            </w:r>
          </w:p>
        </w:tc>
      </w:tr>
    </w:tbl>
    <w:p>
      <w:pPr>
        <w:spacing w:after="20"/>
      </w:pPr>
    </w:p>
    <w:p>
      <w:r>
        <w:t>VU 和“次/秒”分别按上式计算。备用节点默认不加入自动调度，只有任务明确允许时才参与。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20"/>
              </w:rPr>
              <w:t xml:space="preserve">要点  </w:t>
            </w: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20"/>
              </w:rPr>
              <w:t>例：某节点硬上限 500 VU，软上限 450 VU，校准容量 320 VU，当前占用 20 VU，则可用容量为 min(500, 450, 320) − 20 = 300 VU。任何一个上限更低，都会成为最终保护边界。</w:t>
            </w:r>
          </w:p>
        </w:tc>
      </w:tr>
    </w:tbl>
    <w:p>
      <w:pPr>
        <w:spacing w:after="20"/>
      </w:pPr>
    </w:p>
    <w:p>
      <w:pPr>
        <w:pStyle w:val="Heading1"/>
      </w:pPr>
      <w:r>
        <w:t>4. 硬上限、软上限和校准容量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2376"/>
        <w:gridCol w:w="2304"/>
        <w:gridCol w:w="3024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项目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来源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能否人工设置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本机硬上限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Agent/Docker 部署参数与容器 CPU、内存限制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由运维修改部署配置后重建 Agent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平台和 Agent 都不能突破的安全边界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平台软上限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管理员在平台为节点配置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可以调低，不能高于硬上限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共享机器、阶段性限流和风险控制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校准容量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Agent 在本机运行 k6 校准后测得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不能手填；需重新校准产生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证明发压机在当前版本和资源下可持续生成的负载</w:t>
            </w:r>
          </w:p>
        </w:tc>
      </w:tr>
    </w:tbl>
    <w:p>
      <w:pPr>
        <w:spacing w:before="80" w:after="80"/>
      </w:pPr>
      <w:r/>
    </w:p>
    <w:p>
      <w:r>
        <w:t>校准只在 Agent 本机运行，不访问业务系统。当前方案逐步使用约 25%、50% 和 100% 的本机配置进行短时测量，再留安全余量保存结果。校准证据有效期为 7 天；Agent 版本、k6 版本或硬件签名变化会使旧结果失效。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20"/>
              </w:rPr>
              <w:t xml:space="preserve">要点  </w:t>
            </w: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20"/>
              </w:rPr>
              <w:t>校准证明的是“发压机能否稳定产生压力”，不是“被测 API 能承受多少压力”。业务容量必须通过正式压测报告判断。心跳正常也只代表 Agent 在线；没有有效校准时，它仍然不可调度，所以页面可能显示 0 VU。</w:t>
            </w:r>
          </w:p>
        </w:tc>
      </w:tr>
    </w:tbl>
    <w:p>
      <w:pPr>
        <w:spacing w:after="20"/>
      </w:pPr>
    </w:p>
    <w:p>
      <w:pPr>
        <w:pStyle w:val="Heading1"/>
      </w:pPr>
      <w:r>
        <w:t>5. 校准失败与 0 VU 排查</w:t>
      </w:r>
    </w:p>
    <w:p>
      <w:pPr>
        <w:spacing w:after="80" w:line="300" w:lineRule="auto"/>
        <w:numPr>
          <w:ilvl w:val="0"/>
          <w:numId w:val="13"/>
        </w:numPr>
      </w:pPr>
      <w:r>
        <w:t>确认心跳状态为“心跳正常”。若中断，先检查 Agent 容器、网络和平台地址。</w:t>
      </w:r>
    </w:p>
    <w:p>
      <w:pPr>
        <w:spacing w:after="80" w:line="300" w:lineRule="auto"/>
        <w:numPr>
          <w:ilvl w:val="0"/>
          <w:numId w:val="13"/>
        </w:numPr>
      </w:pPr>
      <w:r>
        <w:t>展开或查看页面给出的具体失败原因，不要只看“校准失败”红色状态。</w:t>
      </w:r>
    </w:p>
    <w:p>
      <w:pPr>
        <w:spacing w:after="80" w:line="300" w:lineRule="auto"/>
        <w:numPr>
          <w:ilvl w:val="0"/>
          <w:numId w:val="13"/>
        </w:numPr>
      </w:pPr>
      <w:r>
        <w:t>确认 Agent 版本不低于 0.1.1。旧版对 k6 0.52 的 summary-export 解析不兼容时，会出现“校准结果缺少迭代率或虚拟用户数”。</w:t>
      </w:r>
    </w:p>
    <w:p>
      <w:pPr>
        <w:spacing w:after="80" w:line="300" w:lineRule="auto"/>
        <w:numPr>
          <w:ilvl w:val="0"/>
          <w:numId w:val="13"/>
        </w:numPr>
      </w:pPr>
      <w:r>
        <w:t>在 Agent 服务器运行 deploy/load-agent/check.sh，检查容器状态和最近日志。</w:t>
      </w:r>
    </w:p>
    <w:p>
      <w:pPr>
        <w:spacing w:after="80" w:line="300" w:lineRule="auto"/>
        <w:numPr>
          <w:ilvl w:val="0"/>
          <w:numId w:val="13"/>
        </w:numPr>
      </w:pPr>
      <w:r>
        <w:t>升级时拉取最新代码并重新运行 install.sh；已有凭据卷会保留，正常升级不需要重新生成注册令牌。</w:t>
      </w:r>
    </w:p>
    <w:p>
      <w:pPr>
        <w:spacing w:after="80" w:line="300" w:lineRule="auto"/>
        <w:numPr>
          <w:ilvl w:val="0"/>
          <w:numId w:val="13"/>
        </w:numPr>
      </w:pPr>
      <w:r>
        <w:t>回到平台重新点击“校准节点”，等待终态；校准有效后再创建正式压测。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111827"/>
          </w:tcPr>
          <w:p>
            <w:pPr>
              <w:spacing w:line="240" w:lineRule="auto"/>
            </w:pPr>
            <w:r>
              <w:rPr>
                <w:rFonts w:ascii="Consolas" w:hAnsi="Consolas" w:eastAsia="Hiragino Sans GB"/>
                <w:b w:val="0"/>
                <w:i w:val="0"/>
                <w:color w:val="F8FAFC"/>
                <w:sz w:val="18"/>
              </w:rPr>
              <w:t>cd /opt/midscene-task-platform-src</w:t>
            </w:r>
            <w:r>
              <w:br/>
            </w:r>
            <w:r>
              <w:rPr>
                <w:rFonts w:ascii="Consolas" w:hAnsi="Consolas" w:eastAsia="Hiragino Sans GB"/>
                <w:b w:val="0"/>
                <w:i w:val="0"/>
                <w:color w:val="F8FAFC"/>
                <w:sz w:val="18"/>
              </w:rPr>
              <w:t>git pull origin main</w:t>
            </w:r>
            <w:r>
              <w:br/>
            </w:r>
            <w:r>
              <w:rPr>
                <w:rFonts w:ascii="Consolas" w:hAnsi="Consolas" w:eastAsia="Hiragino Sans GB"/>
                <w:b w:val="0"/>
                <w:i w:val="0"/>
                <w:color w:val="F8FAFC"/>
                <w:sz w:val="18"/>
              </w:rPr>
              <w:t>bash deploy/load-agent/install.sh</w:t>
            </w:r>
            <w:r>
              <w:br/>
            </w:r>
            <w:r>
              <w:rPr>
                <w:rFonts w:ascii="Consolas" w:hAnsi="Consolas" w:eastAsia="Hiragino Sans GB"/>
                <w:b w:val="0"/>
                <w:i w:val="0"/>
                <w:color w:val="F8FAFC"/>
                <w:sz w:val="18"/>
              </w:rPr>
              <w:t>bash deploy/load-agent/check.sh</w:t>
            </w:r>
          </w:p>
        </w:tc>
      </w:tr>
    </w:tbl>
    <w:p>
      <w:pPr>
        <w:spacing w:after="20"/>
      </w:pPr>
    </w:p>
    <w:p>
      <w:pPr>
        <w:pStyle w:val="Heading2"/>
      </w:pPr>
      <w:r>
        <w:t>常见原因与处理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2"/>
        <w:gridCol w:w="3744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现象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更可能的原因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心跳正常但校准失败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k6 输出解析、容器资源、k6 运行错误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看具体错误与 Agent 日志，确认版本后重试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校准有效但可用容量为 0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软上限为 0、全部容量被占用、节点被停用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核对三类上限、当前占用和调度级别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校准过期或配置变化后失效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超过 7 天，或 Agent/k6/硬件变化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重新校准，不复用旧结论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节点在线但任务不选择它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备用节点未获允许、节点组/指定节点不匹配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核对任务节点策略和调度级别</w:t>
            </w:r>
          </w:p>
        </w:tc>
      </w:tr>
    </w:tbl>
    <w:p>
      <w:pPr>
        <w:spacing w:before="80" w:after="80"/>
      </w:pPr>
      <w:r/>
    </w:p>
    <w:p>
      <w:pPr>
        <w:pStyle w:val="Heading1"/>
      </w:pPr>
      <w:r>
        <w:t>6. 四种负载模型怎么选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2376"/>
        <w:gridCol w:w="2304"/>
        <w:gridCol w:w="3024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页面名称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k6 模型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适合回答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新手建议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固定并发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constant-vus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固定数量用户持续操作时表现如何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适合稳定性与用户并发；无法提前精确知道总迭代数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阶梯并发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ramping-vus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并发逐步增加时从哪里开始退化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每级保持足够时间，观察吞吐是否继续增长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固定吞吐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constant-arrival-rate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能否稳定完成指定次数/秒的完整链路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第一次最容易理解；建议从 1 次/秒开始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阶梯吞吐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ramping-arrival-rate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吞吐上限和首个明显拐点在哪里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已有安全基准后再用，设置停止条件</w:t>
            </w:r>
          </w:p>
        </w:tc>
      </w:tr>
    </w:tbl>
    <w:p>
      <w:pPr>
        <w:spacing w:before="80" w:after="80"/>
      </w:pPr>
      <w:r/>
    </w:p>
    <w:p>
      <w:r>
        <w:t>固定并发的实际总迭代数取决于链路耗时，因此页面不应把“VU × 秒”当成准确结果。固定/阶梯吞吐需要足够的 VU 才能按计划启动链路；预检会根据一次真实链路耗时估算所需 VU。</w:t>
      </w:r>
    </w:p>
    <w:p>
      <w:pPr>
        <w:pStyle w:val="Heading1"/>
      </w:pPr>
      <w:r>
        <w:t>7. 场景设计：先保证链路正确，再增加负载</w:t>
      </w:r>
    </w:p>
    <w:p>
      <w:pPr>
        <w:spacing w:after="80" w:line="300" w:lineRule="auto"/>
        <w:numPr>
          <w:ilvl w:val="0"/>
          <w:numId w:val="14"/>
        </w:numPr>
      </w:pPr>
      <w:r>
        <w:t>选择具有业务代表性的核心链路，而不是随机挑大量接口。</w:t>
      </w:r>
    </w:p>
    <w:p>
      <w:pPr>
        <w:spacing w:after="80" w:line="300" w:lineRule="auto"/>
        <w:numPr>
          <w:ilvl w:val="0"/>
          <w:numId w:val="14"/>
        </w:numPr>
      </w:pPr>
      <w:r>
        <w:t>每个关键响应同时校验 HTTP 状态和业务字段；HTTP 200 不代表业务成功。</w:t>
      </w:r>
    </w:p>
    <w:p>
      <w:pPr>
        <w:spacing w:after="80" w:line="300" w:lineRule="auto"/>
        <w:numPr>
          <w:ilvl w:val="0"/>
          <w:numId w:val="14"/>
        </w:numPr>
      </w:pPr>
      <w:r>
        <w:t>需要动态 ID 或令牌时，用前置步骤获取并提取变量，避免写死过期数据。</w:t>
      </w:r>
    </w:p>
    <w:p>
      <w:pPr>
        <w:spacing w:after="80" w:line="300" w:lineRule="auto"/>
        <w:numPr>
          <w:ilvl w:val="0"/>
          <w:numId w:val="14"/>
        </w:numPr>
      </w:pPr>
      <w:r>
        <w:t>写操作必须设计唯一数据、幂等策略和 cleanup_once 清理；删除/取消要验证终态。</w:t>
      </w:r>
    </w:p>
    <w:p>
      <w:pPr>
        <w:spacing w:after="80" w:line="300" w:lineRule="auto"/>
        <w:numPr>
          <w:ilvl w:val="0"/>
          <w:numId w:val="14"/>
        </w:numPr>
      </w:pPr>
      <w:r>
        <w:t>数据集按用途选择：cycle 可循环复用；fixed_per_vu 为每个 VU 固定一行；exclusive_per_iteration 每轮独占一行，数据不足应停止而不是串用。</w:t>
      </w:r>
    </w:p>
    <w:p>
      <w:pPr>
        <w:spacing w:after="80" w:line="300" w:lineRule="auto"/>
        <w:numPr>
          <w:ilvl w:val="0"/>
          <w:numId w:val="14"/>
        </w:numPr>
      </w:pPr>
      <w:r>
        <w:t>保存后形成不可变版本。修改场景时新建版本，报告才可追溯。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20"/>
              </w:rPr>
              <w:t xml:space="preserve">要点  </w:t>
            </w: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20"/>
              </w:rPr>
              <w:t>不建议默认压测真实打印、支付、短信、解绑、批量删除、高成本 AI 或不可逆写操作。若确需覆盖，必须使用隔离环境、专用账号/设备、明确的限额和可验证清理。</w:t>
            </w:r>
          </w:p>
        </w:tc>
      </w:tr>
    </w:tbl>
    <w:p>
      <w:pPr>
        <w:spacing w:after="20"/>
      </w:pPr>
    </w:p>
    <w:p>
      <w:pPr>
        <w:pStyle w:val="Heading1"/>
      </w:pPr>
      <w:r>
        <w:t>8. 第一次安全跑一遍</w:t>
      </w:r>
    </w:p>
    <w:p>
      <w:pPr>
        <w:pStyle w:val="Heading2"/>
      </w:pPr>
      <w:r>
        <w:t>建议参数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2"/>
        <w:gridCol w:w="3744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项目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建议值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原因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目标接口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只读、低成本、可重复的查询接口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避免业务副作用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环境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优先隔离压测环境；生产环境仅在明确授权后使用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降低影响真实用户的风险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负载模型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固定吞吐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目标清晰，便于理解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目标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1 次完整链路/秒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只验证端到端能力与报告链路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持续时间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10 秒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最小安全演练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节点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专用首选节点；先不允许备用节点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避免主平台所在机器承压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任务优先级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低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不抢占更重要的等待任务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初始阈值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P95 ≤ 1000 ms；HTTP 错误率 &lt; 1%；业务失败率 = 0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先建立可解释的基准，后续按业务 SLO 调整</w:t>
            </w:r>
          </w:p>
        </w:tc>
      </w:tr>
    </w:tbl>
    <w:p>
      <w:pPr>
        <w:spacing w:before="80" w:after="80"/>
      </w:pPr>
      <w:r/>
    </w:p>
    <w:p>
      <w:pPr>
        <w:pStyle w:val="Heading2"/>
      </w:pPr>
      <w:r>
        <w:t>操作步骤</w:t>
      </w:r>
    </w:p>
    <w:p>
      <w:pPr>
        <w:spacing w:after="80" w:line="300" w:lineRule="auto"/>
        <w:numPr>
          <w:ilvl w:val="0"/>
          <w:numId w:val="15"/>
        </w:numPr>
      </w:pPr>
      <w:r>
        <w:t>打开“压测节点”，刷新并确认专用节点心跳正常、校准有效、容量大于 0。</w:t>
      </w:r>
    </w:p>
    <w:p>
      <w:pPr>
        <w:spacing w:after="80" w:line="300" w:lineRule="auto"/>
        <w:numPr>
          <w:ilvl w:val="0"/>
          <w:numId w:val="15"/>
        </w:numPr>
      </w:pPr>
      <w:r>
        <w:t>打开“性能场景”，创建只读场景，补充 HTTP 与业务断言，保存版本。</w:t>
      </w:r>
    </w:p>
    <w:p>
      <w:pPr>
        <w:spacing w:after="80" w:line="300" w:lineRule="auto"/>
        <w:numPr>
          <w:ilvl w:val="0"/>
          <w:numId w:val="15"/>
        </w:numPr>
      </w:pPr>
      <w:r>
        <w:t>打开“压测执行”，创建草稿并选择刚保存的场景版本和目标环境。</w:t>
      </w:r>
    </w:p>
    <w:p>
      <w:pPr>
        <w:spacing w:after="80" w:line="300" w:lineRule="auto"/>
        <w:numPr>
          <w:ilvl w:val="0"/>
          <w:numId w:val="15"/>
        </w:numPr>
      </w:pPr>
      <w:r>
        <w:t>选择固定吞吐 1 次/秒、10 秒、低优先级、专用首选节点。</w:t>
      </w:r>
    </w:p>
    <w:p>
      <w:pPr>
        <w:spacing w:after="80" w:line="300" w:lineRule="auto"/>
        <w:numPr>
          <w:ilvl w:val="0"/>
          <w:numId w:val="15"/>
        </w:numPr>
      </w:pPr>
      <w:r>
        <w:t>执行连通性检查：确认 DNS、TCP/TLS 和基础网络可达。</w:t>
      </w:r>
    </w:p>
    <w:p>
      <w:pPr>
        <w:spacing w:after="80" w:line="300" w:lineRule="auto"/>
        <w:numPr>
          <w:ilvl w:val="0"/>
          <w:numId w:val="15"/>
        </w:numPr>
      </w:pPr>
      <w:r>
        <w:t>执行预检：平台以 1 VU 跑一次完整链路，确认变量、断言、数据和清理。</w:t>
      </w:r>
    </w:p>
    <w:p>
      <w:pPr>
        <w:spacing w:after="80" w:line="300" w:lineRule="auto"/>
        <w:numPr>
          <w:ilvl w:val="0"/>
          <w:numId w:val="15"/>
        </w:numPr>
      </w:pPr>
      <w:r>
        <w:t>确认预估容量足够后启动。运行中观察目标吞吐、P95、错误、丢弃和节点资源。</w:t>
      </w:r>
    </w:p>
    <w:p>
      <w:pPr>
        <w:spacing w:after="80" w:line="300" w:lineRule="auto"/>
        <w:numPr>
          <w:ilvl w:val="0"/>
          <w:numId w:val="15"/>
        </w:numPr>
      </w:pPr>
      <w:r>
        <w:t>进入性能报告，按本说明第 10 节的顺序读报告；最后查看 AI 建议。</w:t>
      </w:r>
    </w:p>
    <w:p>
      <w:pPr>
        <w:spacing w:after="80" w:line="300" w:lineRule="auto"/>
        <w:numPr>
          <w:ilvl w:val="0"/>
          <w:numId w:val="15"/>
        </w:numPr>
      </w:pPr>
      <w:r>
        <w:t>若为临时演练，保留报告证据后归档临时场景或运行，不删除历史正式结果。</w:t>
      </w:r>
    </w:p>
    <w:p>
      <w:pPr>
        <w:pStyle w:val="Heading1"/>
      </w:pPr>
      <w:r>
        <w:t>9. 常用专有名词和指标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2"/>
        <w:gridCol w:w="3744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指标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它说明什么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出现异常时先看什么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P50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一半请求不超过该耗时，代表典型体验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与 P95/P99 的差距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P90/P95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90%/95% 请求不超过该耗时，常用于服务目标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随负载的趋势和首次突增时间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P99 / Max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尾部慢请求与极端值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慢步骤、超时、GC、锁或外部依赖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Throughput / RPS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实际每秒 HTTP 请求数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是否随目标负载增长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Iteration rate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实际每秒完成或启动的完整业务链路数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是否达到设定到达率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HTTP error rate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非预期 HTTP 状态或传输失败比例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状态码、网络错误、超时分类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Business failure rate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HTTP 成功但业务断言失败的比例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业务码、布尔值和关键领域字段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Workflow failure rate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整条链路失败比例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失败发生在哪个步骤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Dropped iterations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计划启动但因 VU/发压能力不足而没启动的链路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预分配 VU、Agent 容量与链路耗时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Threshold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运行前定义的通过标准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必选阈值是否通过，而非只看平均值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Ramp-up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逐步增加负载的阶段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哪个阶段开始延迟或错误突变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Saturation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资源或队列接近上限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目标服务与 Agent 的 CPU、内存、连接池、队列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Evidence completeness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所有分片与时间窗口是否都有完整证据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节点中断、缺失窗口、未完成分片</w:t>
            </w:r>
          </w:p>
        </w:tc>
      </w:tr>
    </w:tbl>
    <w:p>
      <w:pPr>
        <w:spacing w:before="80" w:after="80"/>
      </w:pPr>
      <w:r/>
    </w:p>
    <w:p>
      <w:pPr>
        <w:pStyle w:val="Heading1"/>
      </w:pPr>
      <w:r>
        <w:t>10. 报告应该按什么顺序看</w:t>
      </w:r>
    </w:p>
    <w:p>
      <w:pPr>
        <w:spacing w:after="80" w:line="300" w:lineRule="auto"/>
        <w:numPr>
          <w:ilvl w:val="0"/>
          <w:numId w:val="16"/>
        </w:numPr>
      </w:pPr>
      <w:r>
        <w:t>先看“负载目标是否达到”。目标没达到时，低延迟可能只是因为实际压力不足。</w:t>
      </w:r>
    </w:p>
    <w:p>
      <w:pPr>
        <w:spacing w:after="80" w:line="300" w:lineRule="auto"/>
        <w:numPr>
          <w:ilvl w:val="0"/>
          <w:numId w:val="16"/>
        </w:numPr>
      </w:pPr>
      <w:r>
        <w:t>再看“证据完整性”。节点或时间窗口缺失时，结论只能标为证据不足。</w:t>
      </w:r>
    </w:p>
    <w:p>
      <w:pPr>
        <w:spacing w:after="80" w:line="300" w:lineRule="auto"/>
        <w:numPr>
          <w:ilvl w:val="0"/>
          <w:numId w:val="16"/>
        </w:numPr>
      </w:pPr>
      <w:r>
        <w:t>区分 HTTP 错误、网络错误、业务失败和整链路失败，避免把 HTTP 200 当成功。</w:t>
      </w:r>
    </w:p>
    <w:p>
      <w:pPr>
        <w:spacing w:after="80" w:line="300" w:lineRule="auto"/>
        <w:numPr>
          <w:ilvl w:val="0"/>
          <w:numId w:val="16"/>
        </w:numPr>
      </w:pPr>
      <w:r>
        <w:t>看 P50、P95、P99 和最大值的分布与趋势，不能只看平均响应时间。</w:t>
      </w:r>
    </w:p>
    <w:p>
      <w:pPr>
        <w:spacing w:after="80" w:line="300" w:lineRule="auto"/>
        <w:numPr>
          <w:ilvl w:val="0"/>
          <w:numId w:val="16"/>
        </w:numPr>
      </w:pPr>
      <w:r>
        <w:t>看 dropped_iterations。到达率未达标且丢弃上升时，先判断是 Agent 容量不足还是目标服务变慢导致所需 VU 增加。</w:t>
      </w:r>
    </w:p>
    <w:p>
      <w:pPr>
        <w:spacing w:after="80" w:line="300" w:lineRule="auto"/>
        <w:numPr>
          <w:ilvl w:val="0"/>
          <w:numId w:val="16"/>
        </w:numPr>
      </w:pPr>
      <w:r>
        <w:t>对齐 Agent CPU/内存峰值与异常时间。如果 Agent 先饱和，本轮不能证明目标服务容量上限。</w:t>
      </w:r>
    </w:p>
    <w:p>
      <w:pPr>
        <w:spacing w:after="80" w:line="300" w:lineRule="auto"/>
        <w:numPr>
          <w:ilvl w:val="0"/>
          <w:numId w:val="16"/>
        </w:numPr>
      </w:pPr>
      <w:r>
        <w:t>检查必选阈值，形成明确通过/不通过结论。</w:t>
      </w:r>
    </w:p>
    <w:p>
      <w:pPr>
        <w:spacing w:after="80" w:line="300" w:lineRule="auto"/>
        <w:numPr>
          <w:ilvl w:val="0"/>
          <w:numId w:val="16"/>
        </w:numPr>
      </w:pPr>
      <w:r>
        <w:t>只与同场景版本、兼容环境和相同负载模型的历史运行比较。</w:t>
      </w:r>
    </w:p>
    <w:p>
      <w:pPr>
        <w:spacing w:after="80" w:line="300" w:lineRule="auto"/>
        <w:numPr>
          <w:ilvl w:val="0"/>
          <w:numId w:val="16"/>
        </w:numPr>
      </w:pPr>
      <w:r>
        <w:t>最后读 AI 诊断，核对它引用的证据是否真的支持结论。</w:t>
      </w:r>
    </w:p>
    <w:p>
      <w:pPr>
        <w:pStyle w:val="Heading1"/>
      </w:pPr>
      <w:r>
        <w:t>11. AI 能否给出合理建议</w:t>
      </w:r>
    </w:p>
    <w:p>
      <w:r>
        <w:t>AI 可以基于平台已经计算好的确定性证据做归纳和下一轮建议。它的输入包含目标达成率、延迟、错误、丢弃、慢步骤、Agent 资源、时间窗口和可比历史，不包含 Authorization、Cookie、密码或完整敏感响应。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2"/>
        <w:gridCol w:w="3744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AI 输出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应有内容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使用方式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主要结论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是否达标，以及最关键的限制因素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先与确定性报告核对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瓶颈分类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目标服务、网络、压测节点、测试数据、混合或证据不足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分类不是最终根因，只是排查方向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证据引用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指向具体阈值、时间窗口、步骤或节点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没有证据引用的结论不应采纳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改进建议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优先级、动作、如何验证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优先执行可回滚、可验证的动作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下一轮建议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模型、目标、时长和节点建议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作为草案，仍需人确认业务风险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置信度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高/中/低及原因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低置信度时先补监控或重跑</w:t>
            </w:r>
          </w:p>
        </w:tc>
      </w:tr>
    </w:tbl>
    <w:p>
      <w:pPr>
        <w:spacing w:before="80" w:after="80"/>
      </w:pPr>
      <w:r/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20"/>
              </w:rPr>
              <w:t xml:space="preserve">要点  </w:t>
            </w: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20"/>
              </w:rPr>
              <w:t>AI 不能仅凭客户端压测指标证明“数据库某条 SQL 慢”或“某段代码有锁”。如果缺少服务端 CPU、GC、连接池、数据库慢查询和链路追踪，合理结论应是“目标服务疑似饱和，证据不足以定位内部根因”，并建议补采证据。</w:t>
            </w:r>
          </w:p>
        </w:tc>
      </w:tr>
    </w:tbl>
    <w:p>
      <w:pPr>
        <w:spacing w:after="20"/>
      </w:pPr>
    </w:p>
    <w:p>
      <w:pPr>
        <w:pStyle w:val="Heading2"/>
      </w:pPr>
      <w:r>
        <w:t>判断 AI 建议是否合理的四个问题</w:t>
      </w:r>
    </w:p>
    <w:p>
      <w:pPr>
        <w:spacing w:after="80" w:line="300" w:lineRule="auto"/>
        <w:numPr>
          <w:ilvl w:val="0"/>
          <w:numId w:val="17"/>
        </w:numPr>
      </w:pPr>
      <w:r>
        <w:t>它是否引用了报告里真实存在的证据编号或指标？</w:t>
      </w:r>
    </w:p>
    <w:p>
      <w:pPr>
        <w:spacing w:after="80" w:line="300" w:lineRule="auto"/>
        <w:numPr>
          <w:ilvl w:val="0"/>
          <w:numId w:val="17"/>
        </w:numPr>
      </w:pPr>
      <w:r>
        <w:t>它是否区分目标服务、网络、Agent 和测试数据问题？</w:t>
      </w:r>
    </w:p>
    <w:p>
      <w:pPr>
        <w:spacing w:after="80" w:line="300" w:lineRule="auto"/>
        <w:numPr>
          <w:ilvl w:val="0"/>
          <w:numId w:val="17"/>
        </w:numPr>
      </w:pPr>
      <w:r>
        <w:t>建议是否包含“怎么验证”，而不是只说扩容或优化？</w:t>
      </w:r>
    </w:p>
    <w:p>
      <w:pPr>
        <w:spacing w:after="80" w:line="300" w:lineRule="auto"/>
        <w:numPr>
          <w:ilvl w:val="0"/>
          <w:numId w:val="17"/>
        </w:numPr>
      </w:pPr>
      <w:r>
        <w:t>下一轮目标是否循序增加，并且没有越过节点容量与生产风险边界？</w:t>
      </w:r>
    </w:p>
    <w:p>
      <w:pPr>
        <w:pStyle w:val="Heading1"/>
      </w:pPr>
      <w:r>
        <w:t>12. 常见问题怎么判断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2"/>
        <w:gridCol w:w="3744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现象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判断重点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建议动作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目标吞吐未达到，丢弃迭代上升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Agent VU/速率是否到上限，链路耗时是否拉长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先增加预分配 VU或专用节点；若 Agent 不饱和，再查目标服务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P95 上升但错误率仍为 0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吞吐是否继续增长，P99/最大值是否同步恶化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缩小阶梯，找首次拐点并补服务端监控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HTTP 200 但业务失败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业务码、布尔值、领域字段和数据前置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修复业务或断言/数据，不得算作通过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Agent CPU/内存先到高位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异常时间是否与节点资源峰值一致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降低单节点分片或增加同级专用节点后复测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网络错误集中在一个节点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出口 IP、DNS、TLS、跨地域网络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从该节点单独做连通性与预检，不直接归因目标服务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证据不完整或分片中断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缺失窗口、节点离线、停止原因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本轮标记证据不足，修复节点后按同配置重跑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AI 置信度低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缺少哪类证据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补日志、APM、数据库或主机指标后重新诊断；重新诊断不会重跑</w:t>
            </w:r>
          </w:p>
        </w:tc>
      </w:tr>
    </w:tbl>
    <w:p>
      <w:pPr>
        <w:spacing w:before="80" w:after="80"/>
      </w:pPr>
      <w:r/>
    </w:p>
    <w:p>
      <w:pPr>
        <w:pStyle w:val="Heading1"/>
      </w:pPr>
      <w:r>
        <w:t>13. 多节点和调度级别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2"/>
        <w:gridCol w:w="3744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级别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中文含义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参与规则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首选节点 preferred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专用压测服务器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自动调度优先使用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普通节点 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共享但稳定的服务器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首选容量不足时使用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备用节点 fallback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主平台本机或应急节点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只有任务明确允许时参与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停用节点 disabled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保留记录但不再接任务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不可调度</w:t>
            </w:r>
          </w:p>
        </w:tc>
      </w:tr>
    </w:tbl>
    <w:p>
      <w:pPr>
        <w:spacing w:before="80" w:after="80"/>
      </w:pPr>
      <w:r/>
    </w:p>
    <w:p>
      <w:r>
        <w:t>任务中的目标值是全局总目标。多节点只负责分片，总 VU 或总到达率不会因为节点数增加而自动翻倍。例如目标 100 次/秒、两台同级节点各分 50 次/秒时，总目标仍是 100 次/秒。新增服务器需要独立注册和部署一次 Agent；以后调度级别、节点组、软上限和任务选择都在平台修改。</w:t>
      </w:r>
    </w:p>
    <w:p>
      <w:r>
        <w:t>第一版某节点中途离线时不会把剩余压力自动迁移到其他节点，避免目标服务突然受到额外压力。报告会标记分片未完成和证据不完整。</w:t>
      </w:r>
    </w:p>
    <w:p>
      <w:pPr>
        <w:pStyle w:val="Heading1"/>
      </w:pPr>
      <w:r>
        <w:t>14. 安全边界与生产环境</w:t>
      </w:r>
    </w:p>
    <w:p>
      <w:pPr>
        <w:spacing w:after="80" w:line="300" w:lineRule="auto"/>
        <w:numPr>
          <w:ilvl w:val="0"/>
          <w:numId w:val="18"/>
        </w:numPr>
      </w:pPr>
      <w:r>
        <w:t>生产环境必须保留 api.production 权限和明确风险确认；没有授权时只查看。</w:t>
      </w:r>
    </w:p>
    <w:p>
      <w:pPr>
        <w:spacing w:after="80" w:line="300" w:lineRule="auto"/>
        <w:numPr>
          <w:ilvl w:val="0"/>
          <w:numId w:val="18"/>
        </w:numPr>
      </w:pPr>
      <w:r>
        <w:t>当前平台仍通过 HTTP 提供服务，传输风险尚未解决。Agent 到平台和浏览器到平台都应尽快迁移 HTTPS。</w:t>
      </w:r>
    </w:p>
    <w:p>
      <w:pPr>
        <w:spacing w:after="80" w:line="300" w:lineRule="auto"/>
        <w:numPr>
          <w:ilvl w:val="0"/>
          <w:numId w:val="18"/>
        </w:numPr>
      </w:pPr>
      <w:r>
        <w:t>敏感凭据只放环境密钥或专用机密存储，不写入普通数据集、场景名称或日志。</w:t>
      </w:r>
    </w:p>
    <w:p>
      <w:pPr>
        <w:spacing w:after="80" w:line="300" w:lineRule="auto"/>
        <w:numPr>
          <w:ilvl w:val="0"/>
          <w:numId w:val="18"/>
        </w:numPr>
      </w:pPr>
      <w:r>
        <w:t>压测账号、数据和设备与真实用户隔离；写操作准备精确清理和数量上限。</w:t>
      </w:r>
    </w:p>
    <w:p>
      <w:pPr>
        <w:spacing w:after="80" w:line="300" w:lineRule="auto"/>
        <w:numPr>
          <w:ilvl w:val="0"/>
          <w:numId w:val="18"/>
        </w:numPr>
      </w:pPr>
      <w:r>
        <w:t>设置停止条件：错误率突增、P95 超阈值、生产告警、Agent 资源饱和或出现未知副作用时立即停止。</w:t>
      </w:r>
    </w:p>
    <w:p>
      <w:pPr>
        <w:spacing w:after="80" w:line="300" w:lineRule="auto"/>
        <w:numPr>
          <w:ilvl w:val="0"/>
          <w:numId w:val="18"/>
        </w:numPr>
      </w:pPr>
      <w:r>
        <w:t>飞书通知写清场景、环境、负载目标、结果和报告入口，避免把普通 API 回归与性能报告混淆。</w:t>
      </w:r>
    </w:p>
    <w:p>
      <w:pPr>
        <w:pStyle w:val="Heading1"/>
      </w:pPr>
      <w:r>
        <w:t>15. 推荐的渐进测试计划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2376"/>
        <w:gridCol w:w="2304"/>
        <w:gridCol w:w="3024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阶段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建议负载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目的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0B2545"/>
                <w:sz w:val="18"/>
              </w:rPr>
              <w:t>进入下一阶段的条件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连通演练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1 次/秒 × 10 秒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验证节点、场景、预检、报告和 AI 链路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业务断言全过、无副作用、证据完整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小流量基准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5 次/秒 × 2 分钟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建立响应时间和资源基线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目标达到且必选阈值通过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阶梯探测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5→10→20→…，每级 2–5 分钟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寻找首个退化阶段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每次只增加一个变量，保存拐点证据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稳定性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已知安全容量的 60%–70%，30–60 分钟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发现累积性问题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资源和延迟无持续漂移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压力/容量上限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隔离环境中逐步越过目标峰值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确定极限和保护策略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18"/>
              </w:rPr>
              <w:t>已准备监控、停止条件和恢复方案</w:t>
            </w:r>
          </w:p>
        </w:tc>
      </w:tr>
    </w:tbl>
    <w:p>
      <w:pPr>
        <w:spacing w:before="80" w:after="80"/>
      </w:pPr>
      <w:r/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60" w:after="60"/>
            </w:pPr>
            <w:r>
              <w:rPr>
                <w:rFonts w:ascii="Hiragino Sans GB" w:hAnsi="Hiragino Sans GB" w:eastAsia="Hiragino Sans GB"/>
                <w:b/>
                <w:i w:val="0"/>
                <w:color w:val="2E74B5"/>
                <w:sz w:val="20"/>
              </w:rPr>
              <w:t xml:space="preserve">要点  </w:t>
            </w:r>
            <w:r>
              <w:rPr>
                <w:rFonts w:ascii="Hiragino Sans GB" w:hAnsi="Hiragino Sans GB" w:eastAsia="Hiragino Sans GB"/>
                <w:b w:val="0"/>
                <w:i w:val="0"/>
                <w:color w:val="0B2545"/>
                <w:sz w:val="20"/>
              </w:rPr>
              <w:t>服务器内存扩容不会自动等于更高压测能力。扩容、CPU 配额、Agent 镜像或 k6 版本变化后都要重新校准；正式容量仍需用业务压测验证。</w:t>
            </w:r>
          </w:p>
        </w:tc>
      </w:tr>
    </w:tbl>
    <w:p>
      <w:pPr>
        <w:spacing w:after="20"/>
      </w:pPr>
    </w:p>
    <w:p>
      <w:pPr>
        <w:pStyle w:val="Heading1"/>
      </w:pPr>
      <w:r>
        <w:t>16. 运行前、运行中、运行后检查清单</w:t>
      </w:r>
    </w:p>
    <w:p>
      <w:pPr>
        <w:pStyle w:val="Heading2"/>
      </w:pPr>
      <w:r>
        <w:t>运行前</w:t>
      </w:r>
    </w:p>
    <w:p>
      <w:pPr>
        <w:spacing w:after="80" w:line="300" w:lineRule="auto"/>
        <w:numPr>
          <w:ilvl w:val="0"/>
          <w:numId w:val="19"/>
        </w:numPr>
      </w:pPr>
      <w:r>
        <w:t>场景版本、环境版本和接口归属正确。</w:t>
      </w:r>
    </w:p>
    <w:p>
      <w:pPr>
        <w:spacing w:after="80" w:line="300" w:lineRule="auto"/>
        <w:numPr>
          <w:ilvl w:val="0"/>
          <w:numId w:val="19"/>
        </w:numPr>
      </w:pPr>
      <w:r>
        <w:t>HTTP 与业务断言完整，动态变量可提取。</w:t>
      </w:r>
    </w:p>
    <w:p>
      <w:pPr>
        <w:spacing w:after="80" w:line="300" w:lineRule="auto"/>
        <w:numPr>
          <w:ilvl w:val="0"/>
          <w:numId w:val="19"/>
        </w:numPr>
      </w:pPr>
      <w:r>
        <w:t>写操作有唯一数据、清理和终态验证。</w:t>
      </w:r>
    </w:p>
    <w:p>
      <w:pPr>
        <w:spacing w:after="80" w:line="300" w:lineRule="auto"/>
        <w:numPr>
          <w:ilvl w:val="0"/>
          <w:numId w:val="19"/>
        </w:numPr>
      </w:pPr>
      <w:r>
        <w:t>选中节点心跳正常、校准有效、容量充足。</w:t>
      </w:r>
    </w:p>
    <w:p>
      <w:pPr>
        <w:spacing w:after="80" w:line="300" w:lineRule="auto"/>
        <w:numPr>
          <w:ilvl w:val="0"/>
          <w:numId w:val="19"/>
        </w:numPr>
      </w:pPr>
      <w:r>
        <w:t>生产环境权限、通知范围和停止条件明确。</w:t>
      </w:r>
    </w:p>
    <w:p>
      <w:pPr>
        <w:spacing w:after="80" w:line="300" w:lineRule="auto"/>
        <w:numPr>
          <w:ilvl w:val="0"/>
          <w:numId w:val="19"/>
        </w:numPr>
      </w:pPr>
      <w:r>
        <w:t>连通性检查和单链路预检通过。</w:t>
      </w:r>
    </w:p>
    <w:p>
      <w:pPr>
        <w:pStyle w:val="Heading2"/>
      </w:pPr>
      <w:r>
        <w:t>运行中</w:t>
      </w:r>
    </w:p>
    <w:p>
      <w:pPr>
        <w:spacing w:after="80" w:line="300" w:lineRule="auto"/>
        <w:numPr>
          <w:ilvl w:val="0"/>
          <w:numId w:val="20"/>
        </w:numPr>
      </w:pPr>
      <w:r>
        <w:t>实际负载接近目标，未出现持续丢弃迭代。</w:t>
      </w:r>
    </w:p>
    <w:p>
      <w:pPr>
        <w:spacing w:after="80" w:line="300" w:lineRule="auto"/>
        <w:numPr>
          <w:ilvl w:val="0"/>
          <w:numId w:val="20"/>
        </w:numPr>
      </w:pPr>
      <w:r>
        <w:t>P95/P99、HTTP/业务错误和慢步骤没有异常突变。</w:t>
      </w:r>
    </w:p>
    <w:p>
      <w:pPr>
        <w:spacing w:after="80" w:line="300" w:lineRule="auto"/>
        <w:numPr>
          <w:ilvl w:val="0"/>
          <w:numId w:val="20"/>
        </w:numPr>
      </w:pPr>
      <w:r>
        <w:t>Agent 与目标服务资源没有先行饱和。</w:t>
      </w:r>
    </w:p>
    <w:p>
      <w:pPr>
        <w:spacing w:after="80" w:line="300" w:lineRule="auto"/>
        <w:numPr>
          <w:ilvl w:val="0"/>
          <w:numId w:val="20"/>
        </w:numPr>
      </w:pPr>
      <w:r>
        <w:t>发现真实副作用或生产告警时立即停止。</w:t>
      </w:r>
    </w:p>
    <w:p>
      <w:pPr>
        <w:pStyle w:val="Heading2"/>
      </w:pPr>
      <w:r>
        <w:t>运行后</w:t>
      </w:r>
    </w:p>
    <w:p>
      <w:pPr>
        <w:spacing w:after="80" w:line="300" w:lineRule="auto"/>
        <w:numPr>
          <w:ilvl w:val="0"/>
          <w:numId w:val="21"/>
        </w:numPr>
      </w:pPr>
      <w:r>
        <w:t>所有分片都有终态，证据完整性可接受。</w:t>
      </w:r>
    </w:p>
    <w:p>
      <w:pPr>
        <w:spacing w:after="80" w:line="300" w:lineRule="auto"/>
        <w:numPr>
          <w:ilvl w:val="0"/>
          <w:numId w:val="21"/>
        </w:numPr>
      </w:pPr>
      <w:r>
        <w:t>报告区分了 HTTP、网络、业务和链路失败。</w:t>
      </w:r>
    </w:p>
    <w:p>
      <w:pPr>
        <w:spacing w:after="80" w:line="300" w:lineRule="auto"/>
        <w:numPr>
          <w:ilvl w:val="0"/>
          <w:numId w:val="21"/>
        </w:numPr>
      </w:pPr>
      <w:r>
        <w:t>阈值结论、慢步骤、拐点和资源峰值已记录。</w:t>
      </w:r>
    </w:p>
    <w:p>
      <w:pPr>
        <w:spacing w:after="80" w:line="300" w:lineRule="auto"/>
        <w:numPr>
          <w:ilvl w:val="0"/>
          <w:numId w:val="21"/>
        </w:numPr>
      </w:pPr>
      <w:r>
        <w:t>AI 结论引用了证据，建议包含验证方法。</w:t>
      </w:r>
    </w:p>
    <w:p>
      <w:pPr>
        <w:spacing w:after="80" w:line="300" w:lineRule="auto"/>
        <w:numPr>
          <w:ilvl w:val="0"/>
          <w:numId w:val="21"/>
        </w:numPr>
      </w:pPr>
      <w:r>
        <w:t>临时数据已精确清理，正式报告和运行 ID 已保留。</w:t>
      </w:r>
    </w:p>
    <w:p>
      <w:pPr>
        <w:pStyle w:val="Heading1"/>
      </w:pPr>
      <w:r>
        <w:t>17. 当前版本说明</w:t>
      </w:r>
    </w:p>
    <w:p>
      <w:r>
        <w:t>压测 Agent 0.1.1 修正了 k6 0.52 summary-export 指标结构解析，并让页面展示具体校准失败原因。部署该版本后仍应在真实服务器重新校准，并用本文“第一次安全跑一遍”的 1 次/秒、10 秒场景完成端到端验收。未经真实运行和报告核对，不能把代码测试通过表述为线上压测已经验收。</w:t>
      </w:r>
    </w:p>
    <w:p>
      <w:pPr>
        <w:pStyle w:val="Heading1"/>
      </w:pPr>
      <w:r>
        <w:t>参考资料</w:t>
      </w:r>
    </w:p>
    <w:p>
      <w:pPr>
        <w:spacing w:after="80" w:line="300" w:lineRule="auto"/>
        <w:numPr>
          <w:ilvl w:val="0"/>
          <w:numId w:val="22"/>
        </w:numPr>
      </w:pPr>
      <w:r>
        <w:t>仓库运维说明：docs/api-load-agent-operations.md</w:t>
      </w:r>
    </w:p>
    <w:p>
      <w:pPr>
        <w:spacing w:after="80" w:line="300" w:lineRule="auto"/>
        <w:numPr>
          <w:ilvl w:val="0"/>
          <w:numId w:val="22"/>
        </w:numPr>
      </w:pPr>
      <w:r>
        <w:t>仓库设计说明：docs/superpowers/specs/2026-09-03-api-load-testing-design.md</w:t>
      </w:r>
    </w:p>
    <w:p>
      <w:pPr>
        <w:spacing w:after="80" w:line="300" w:lineRule="auto"/>
        <w:numPr>
          <w:ilvl w:val="0"/>
          <w:numId w:val="22"/>
        </w:numPr>
      </w:pPr>
      <w:r>
        <w:t>Grafana k6 Metrics reference：https://grafana.com/docs/k6/latest/using-k6/metrics/reference/</w:t>
      </w:r>
    </w:p>
    <w:p>
      <w:pPr>
        <w:spacing w:after="80" w:line="300" w:lineRule="auto"/>
        <w:numPr>
          <w:ilvl w:val="0"/>
          <w:numId w:val="22"/>
        </w:numPr>
      </w:pPr>
      <w:r>
        <w:t>Grafana k6 Open and closed models：https://grafana.com/docs/k6/latest/using-k6/scenarios/concepts/open-vs-closed/</w:t>
      </w:r>
    </w:p>
    <w:p>
      <w:pPr>
        <w:spacing w:after="80" w:line="300" w:lineRule="auto"/>
        <w:numPr>
          <w:ilvl w:val="0"/>
          <w:numId w:val="22"/>
        </w:numPr>
      </w:pPr>
      <w:r>
        <w:t>Grafana k6 Options reference：https://grafana.com/docs/k6/latest/using-k6/k6-options/reference/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i w:val="0"/>
        <w:color w:val="667085"/>
        <w:sz w:val="17"/>
      </w:rPr>
      <w:t xml:space="preserve">内部使用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 GB" w:hAnsi="Hiragino Sans GB" w:eastAsia="Hiragino Sans GB"/>
        <w:b/>
        <w:i w:val="0"/>
        <w:color w:val="667085"/>
        <w:sz w:val="17"/>
      </w:rPr>
      <w:t>功夫豆测试平台  |  API 性能测试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□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□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□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Hiragino Sans GB" w:hAnsi="Hiragino Sans GB" w:eastAsia="Hiragino Sans G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Hiragino Sans GB" w:hAnsi="Hiragino Sans GB" w:eastAsia="Hiragino Sans G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性能测试使用说明</dc:title>
  <dc:subject>功夫豆测试平台 API 性能测试操作与指标说明</dc:subject>
  <dc:creator>功夫豆测试平台</dc:creator>
  <cp:keywords>k6, API性能测试, 压测Agent, VU, 校准, AI诊断</cp:keywords>
  <dc:description>Preset: compact_reference_guide; first-page: editorial_cover; CJK font override: Hiragino Sans GB.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