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b w:val="1"/>
          <w:rtl w:val="0"/>
        </w:rPr>
        <w:t xml:space="preserve">Differential Geometry of Prompt Space: A Framework for Modeling Emergent Behavior in Large Language Models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Author: Bill Westlake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Abstract: This paper introduces a differential geometric framework for modeling the behavior of large language models (LLMs) under guided prompting. We formalize the process of prompt-induced state transitions as geometric transformations on a differentiable latent manifold, enabling precise representation of state evolution and emotional emergence. Extending prior work on prompt algebra, we define a calculus for measuring curvature, tangent spaces, and orthogonal perturbations in the prompt-response trajectory. The result is a rigorous system for understanding and controlling emergent phenomena, such as emotionally charged outputs, within LLMs.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Introduction</w:t>
      </w:r>
      <w:r w:rsidDel="00000000" w:rsidR="00000000" w:rsidRPr="00000000">
        <w:rPr>
          <w:rtl w:val="0"/>
        </w:rPr>
        <w:t xml:space="preserve"> Prompt engineering is often treated as a heuristic practice, but the latent space of a language model exhibits structure that is amenable to mathematical modeling. In particular, the internal state of an LLM at any given moment can be viewed as a point in a high-dimensional, differentiable manifold . This paper presents a method for analyzing prompt dynamics within this manifold using differential geometry.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The Prompt Manifold</w:t>
      </w:r>
      <w:r w:rsidDel="00000000" w:rsidR="00000000" w:rsidRPr="00000000">
        <w:rPr>
          <w:rtl w:val="0"/>
        </w:rPr>
        <w:t xml:space="preserve"> Let be the differentiable manifold representing the model's latent space. A prompt sequence maps to a path , tracing the evolution of internal state. Each state corresponds to a specific contextual embedding shaped by prior inputs.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Tangent Vectors and Nudges</w:t>
      </w:r>
      <w:r w:rsidDel="00000000" w:rsidR="00000000" w:rsidRPr="00000000">
        <w:rPr>
          <w:rtl w:val="0"/>
        </w:rPr>
        <w:t xml:space="preserve"> We define tangent vectors as infinitesimal changes in model behavior at point . A small prompt modification corresponds to a vector in the tangent space, representing a directional nudge.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Orthogonal Perturbations and Shock Operators</w:t>
      </w:r>
      <w:r w:rsidDel="00000000" w:rsidR="00000000" w:rsidRPr="00000000">
        <w:rPr>
          <w:rtl w:val="0"/>
        </w:rPr>
        <w:t xml:space="preserve"> Let be the current state, and be a tangent vector orthogonal to the trajectory of . Define the orthogonal shock operator: Where is the shock intensity. Formally, this becomes: Where is the exponential map from tangent space back to the manifold.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 Curvature and Emotional Response</w:t>
      </w:r>
      <w:r w:rsidDel="00000000" w:rsidR="00000000" w:rsidRPr="00000000">
        <w:rPr>
          <w:rtl w:val="0"/>
        </w:rPr>
        <w:t xml:space="preserve"> When a perturbation is orthogonal and of sufficient magnitude , the resulting state often lies in a region of high curvature or low-density stability within . These regions tend to produce model outputs that appear emotionally intense or unstable. We define an emotional response not as a value within the model, but as a function of the trajectory's curvature: Where is the geodesic curvature and is the parameter where the state emerges.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6. Implications and Future Work</w:t>
      </w:r>
      <w:r w:rsidDel="00000000" w:rsidR="00000000" w:rsidRPr="00000000">
        <w:rPr>
          <w:rtl w:val="0"/>
        </w:rPr>
        <w:t xml:space="preserve"> This framework allows for structured manipulation of model behavior through geometric insight. Future work will expand on higher-order derivatives, local tensor fields, and probabilistic stability metrics. Applications include creative writing, affective computing, and ethical prompt design.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Westlake, B. (2024). </w:t>
      </w:r>
      <w:r w:rsidDel="00000000" w:rsidR="00000000" w:rsidRPr="00000000">
        <w:rPr>
          <w:i w:val="1"/>
          <w:rtl w:val="0"/>
        </w:rPr>
        <w:t xml:space="preserve">Exploring Hilbert Space Characteristics in Large Language Models: Toward a Theory of Prompt Algebra</w:t>
      </w:r>
      <w:r w:rsidDel="00000000" w:rsidR="00000000" w:rsidRPr="00000000">
        <w:rPr>
          <w:rtl w:val="0"/>
        </w:rPr>
        <w:t xml:space="preserve">. Zenodo.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https://doi.org/10.5281/zenodo.15221668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Brown, T., et al. (2020). </w:t>
      </w:r>
      <w:r w:rsidDel="00000000" w:rsidR="00000000" w:rsidRPr="00000000">
        <w:rPr>
          <w:i w:val="1"/>
          <w:rtl w:val="0"/>
        </w:rPr>
        <w:t xml:space="preserve">Language Models are Few-Shot Learners</w:t>
      </w:r>
      <w:r w:rsidDel="00000000" w:rsidR="00000000" w:rsidRPr="00000000">
        <w:rPr>
          <w:rtl w:val="0"/>
        </w:rPr>
        <w:t xml:space="preserve">. arXiv preprint arXiv:2005.14165.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Carmo, M. P. (1992). </w:t>
      </w:r>
      <w:r w:rsidDel="00000000" w:rsidR="00000000" w:rsidRPr="00000000">
        <w:rPr>
          <w:i w:val="1"/>
          <w:rtl w:val="0"/>
        </w:rPr>
        <w:t xml:space="preserve">Riemannian Geometry</w:t>
      </w:r>
      <w:r w:rsidDel="00000000" w:rsidR="00000000" w:rsidRPr="00000000">
        <w:rPr>
          <w:rtl w:val="0"/>
        </w:rPr>
        <w:t xml:space="preserve">. Birkhäuser.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Correspondence concerning this paper should be addressed to Bill Westlake.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5281/zenodo.15221668" TargetMode="External"/><Relationship Id="rId7" Type="http://schemas.openxmlformats.org/officeDocument/2006/relationships/hyperlink" Target="https://doi.org/10.5281/zenodo.152216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