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rFonts w:ascii="Arial" w:cs="Arial" w:eastAsia="Arial" w:hAnsi="Arial"/>
          <w:b/>
          <w:bCs/>
          <w:color w:val="1F3864"/>
          <w:sz w:val="36"/>
          <w:szCs w:val="36"/>
        </w:rPr>
        <w:t xml:space="preserve">Kinematic Metrics for Information Space: Velocity, Curvature, and Torsional Resistance in Large Language Model Manifolds</w:t>
      </w:r>
    </w:p>
    <w:p>
      <w:pPr>
        <w:spacing w:after="120"/>
        <w:jc w:val="center"/>
      </w:pPr>
      <w:r>
        <w:rPr>
          <w:rFonts w:ascii="Arial" w:cs="Arial" w:eastAsia="Arial" w:hAnsi="Arial"/>
          <w:i/>
          <w:iCs/>
          <w:sz w:val="26"/>
          <w:szCs w:val="26"/>
        </w:rPr>
        <w:t xml:space="preserve">William W. Westlake Jr., BSEE, MIS</w:t>
      </w:r>
    </w:p>
    <w:p>
      <w:pPr>
        <w:spacing w:after="400"/>
        <w:jc w:val="center"/>
      </w:pPr>
      <w:r>
        <w:rPr>
          <w:rFonts w:ascii="Arial" w:cs="Arial" w:eastAsia="Arial" w:hAnsi="Arial"/>
          <w:sz w:val="24"/>
          <w:szCs w:val="24"/>
        </w:rPr>
        <w:t xml:space="preserve">2025</w:t>
      </w:r>
    </w:p>
    <w:p>
      <w:pPr>
        <w:pStyle w:val="Heading1"/>
      </w:pPr>
      <w:r>
        <w:rPr>
          <w:rFonts w:ascii="Arial" w:cs="Arial" w:eastAsia="Arial" w:hAnsi="Arial"/>
          <w:b/>
          <w:bCs/>
          <w:sz w:val="32"/>
          <w:szCs w:val="32"/>
        </w:rPr>
        <w:t xml:space="preserve">Abstract</w:t>
      </w:r>
    </w:p>
    <w:p>
      <w:pPr>
        <w:spacing w:after="160"/>
      </w:pPr>
      <w:r>
        <w:rPr>
          <w:rFonts w:ascii="Arial" w:cs="Arial" w:eastAsia="Arial" w:hAnsi="Arial"/>
          <w:sz w:val="24"/>
          <w:szCs w:val="24"/>
        </w:rPr>
        <w:t xml:space="preserve">This paper introduces three kinematic observables for characterizing trajectory behavior in the information space of Large Language Models (LLMs): velocity (v), curvature (κ), and torsional resistance (τ). Building on prior work establishing the prompt manifold as a differentiable geometric space (Westlake, 2024, 2025), we define these metrics purely from observable input/output behavior, requiring no access to model internals. We further describe the attractor phenomenon — a stable fixed-point region of high torsional resistance observable in LLM behavior — and propose a methodology for its detection and characterization. Empirical observations suggest that attractor capture is preceded by measurable deceleration and curvature increase, enabling early warning detection.</w:t>
      </w:r>
    </w:p>
    <w:p>
      <w:r>
        <w:t xml:space="preserve"/>
      </w:r>
    </w:p>
    <w:p>
      <w:pPr>
        <w:pStyle w:val="Heading1"/>
      </w:pPr>
      <w:r>
        <w:rPr>
          <w:rFonts w:ascii="Arial" w:cs="Arial" w:eastAsia="Arial" w:hAnsi="Arial"/>
          <w:b/>
          <w:bCs/>
          <w:sz w:val="32"/>
          <w:szCs w:val="32"/>
        </w:rPr>
        <w:t xml:space="preserve">1. Introduction</w:t>
      </w:r>
    </w:p>
    <w:p>
      <w:pPr>
        <w:spacing w:after="160"/>
      </w:pPr>
      <w:r>
        <w:rPr>
          <w:rFonts w:ascii="Arial" w:cs="Arial" w:eastAsia="Arial" w:hAnsi="Arial"/>
          <w:sz w:val="24"/>
          <w:szCs w:val="24"/>
        </w:rPr>
        <w:t xml:space="preserve">The geometric framework for prompt-induced state transitions in LLMs, introduced in prior work on Prompt Algebra (Westlake, 2024) and the Differential Geometry of Prompt Space (Westlake, 2025), treats the model’s information state as a point on a high-dimensional differentiable manifold M. Prompt sequences trace paths through this manifold, and their behavior — stability, drift, divergence — can be characterized geometrically.</w:t>
      </w:r>
    </w:p>
    <w:p>
      <w:pPr>
        <w:spacing w:after="160"/>
      </w:pPr>
      <w:r>
        <w:rPr>
          <w:rFonts w:ascii="Arial" w:cs="Arial" w:eastAsia="Arial" w:hAnsi="Arial"/>
          <w:sz w:val="24"/>
          <w:szCs w:val="24"/>
        </w:rPr>
        <w:t xml:space="preserve">A critical constraint of this framework, and a deliberate design principle, is that all observables must be derivable purely from model inputs and outputs. The hardware substrate, internal weights, attention patterns, and activation states are entirely irrelevant. Just as a neuron’s voltage tells us nothing about the thought it participates in, the numerical values within a model’s registers carry no meaning in information space. The manifold we study is an information manifold, not an implementation manifold.</w:t>
      </w:r>
    </w:p>
    <w:p>
      <w:pPr>
        <w:spacing w:after="160"/>
      </w:pPr>
      <w:r>
        <w:rPr>
          <w:rFonts w:ascii="Arial" w:cs="Arial" w:eastAsia="Arial" w:hAnsi="Arial"/>
          <w:sz w:val="24"/>
          <w:szCs w:val="24"/>
        </w:rPr>
        <w:t xml:space="preserve">This paper extends the framework by introducing kinematic observables — measurements of how trajectories move and change through information space over time. These metrics are: velocity (v), measuring rate of traversal; curvature (κ), measuring rate of directional change; and torsional resistance (τ), measuring the energy required to escape a stable attractor region.</w:t>
      </w:r>
    </w:p>
    <w:p>
      <w:r>
        <w:t xml:space="preserve"/>
      </w:r>
    </w:p>
    <w:p>
      <w:pPr>
        <w:pStyle w:val="Heading1"/>
      </w:pPr>
      <w:r>
        <w:rPr>
          <w:rFonts w:ascii="Arial" w:cs="Arial" w:eastAsia="Arial" w:hAnsi="Arial"/>
          <w:b/>
          <w:bCs/>
          <w:sz w:val="32"/>
          <w:szCs w:val="32"/>
        </w:rPr>
        <w:t xml:space="preserve">2. Prior Work and Theoretical Foundation</w:t>
      </w:r>
    </w:p>
    <w:p>
      <w:pPr>
        <w:spacing w:after="160"/>
      </w:pPr>
      <w:r>
        <w:rPr>
          <w:rFonts w:ascii="Arial" w:cs="Arial" w:eastAsia="Arial" w:hAnsi="Arial"/>
          <w:sz w:val="24"/>
          <w:szCs w:val="24"/>
        </w:rPr>
        <w:t xml:space="preserve">The theoretical foundation for this work rests on four prior publications:</w:t>
      </w:r>
    </w:p>
    <w:p>
      <w:pPr>
        <w:pStyle w:val="ListParagraph"/>
        <w:numPr>
          <w:ilvl w:val="0"/>
          <w:numId w:val="2"/>
        </w:numPr>
        <w:spacing w:after="100"/>
      </w:pPr>
      <w:r>
        <w:rPr>
          <w:rFonts w:ascii="Arial" w:cs="Arial" w:eastAsia="Arial" w:hAnsi="Arial"/>
          <w:sz w:val="24"/>
          <w:szCs w:val="24"/>
        </w:rPr>
        <w:t xml:space="preserve">Westlake (2024) establishes the Hilbert Space model of LLM latent structure and introduces Prompt Algebra as a methodology for geometric prompt manipulation.</w:t>
      </w:r>
    </w:p>
    <w:p>
      <w:pPr>
        <w:pStyle w:val="ListParagraph"/>
        <w:numPr>
          <w:ilvl w:val="0"/>
          <w:numId w:val="2"/>
        </w:numPr>
        <w:spacing w:after="100"/>
      </w:pPr>
      <w:r>
        <w:rPr>
          <w:rFonts w:ascii="Arial" w:cs="Arial" w:eastAsia="Arial" w:hAnsi="Arial"/>
          <w:sz w:val="24"/>
          <w:szCs w:val="24"/>
        </w:rPr>
        <w:t xml:space="preserve">Westlake (2025a) formalizes the Differential Geometry of Prompt Space, defining the prompt manifold M, tangent vectors, orthogonal perturbations, and the shock operator for trajectory deflection.</w:t>
      </w:r>
    </w:p>
    <w:p>
      <w:pPr>
        <w:pStyle w:val="ListParagraph"/>
        <w:numPr>
          <w:ilvl w:val="0"/>
          <w:numId w:val="2"/>
        </w:numPr>
        <w:spacing w:after="100"/>
      </w:pPr>
      <w:r>
        <w:rPr>
          <w:rFonts w:ascii="Arial" w:cs="Arial" w:eastAsia="Arial" w:hAnsi="Arial"/>
          <w:sz w:val="24"/>
          <w:szCs w:val="24"/>
        </w:rPr>
        <w:t xml:space="preserve">Westlake (2025b) introduces Prompt Dynamics and the Tensor Field of Language, treating prompts as tensor fields that actively deform the manifold geometry.</w:t>
      </w:r>
    </w:p>
    <w:p>
      <w:pPr>
        <w:pStyle w:val="ListParagraph"/>
        <w:numPr>
          <w:ilvl w:val="0"/>
          <w:numId w:val="2"/>
        </w:numPr>
        <w:spacing w:after="100"/>
      </w:pPr>
      <w:r>
        <w:rPr>
          <w:rFonts w:ascii="Arial" w:cs="Arial" w:eastAsia="Arial" w:hAnsi="Arial"/>
          <w:sz w:val="24"/>
          <w:szCs w:val="24"/>
        </w:rPr>
        <w:t xml:space="preserve">Westlake (2025c) defines the ζ4 Metric, a complex-valued observable framework with four real-valued dimensions: α (Structural Separation), β (Instruction Bleed), γ (Trajectory Skew), and δ (Reference Drift).</w:t>
      </w:r>
    </w:p>
    <w:p>
      <w:r>
        <w:t xml:space="preserve"/>
      </w:r>
    </w:p>
    <w:p>
      <w:pPr>
        <w:spacing w:after="160"/>
      </w:pPr>
      <w:r>
        <w:rPr>
          <w:rFonts w:ascii="Arial" w:cs="Arial" w:eastAsia="Arial" w:hAnsi="Arial"/>
          <w:sz w:val="24"/>
          <w:szCs w:val="24"/>
        </w:rPr>
        <w:t xml:space="preserve">The kinematic metrics introduced here are complementary to the ζ4 observables. Where α, β, γ, δ characterize the state at a point, velocity and curvature characterize the dynamics of the trajectory between points. Torsional resistance characterizes topological properties of specific manifold regions.</w:t>
      </w:r>
    </w:p>
    <w:p>
      <w:r>
        <w:t xml:space="preserve"/>
      </w:r>
    </w:p>
    <w:p>
      <w:pPr>
        <w:pStyle w:val="Heading1"/>
      </w:pPr>
      <w:r>
        <w:rPr>
          <w:rFonts w:ascii="Arial" w:cs="Arial" w:eastAsia="Arial" w:hAnsi="Arial"/>
          <w:b/>
          <w:bCs/>
          <w:sz w:val="32"/>
          <w:szCs w:val="32"/>
        </w:rPr>
        <w:t xml:space="preserve">3. Establishing the Temporal Coordinate</w:t>
      </w:r>
    </w:p>
    <w:p>
      <w:pPr>
        <w:spacing w:after="160"/>
      </w:pPr>
      <w:r>
        <w:rPr>
          <w:rFonts w:ascii="Arial" w:cs="Arial" w:eastAsia="Arial" w:hAnsi="Arial"/>
          <w:sz w:val="24"/>
          <w:szCs w:val="24"/>
        </w:rPr>
        <w:t xml:space="preserve">To define kinematic quantities, we require a time coordinate. We define discrete time t as the integer sequence index of prompt/response pairs in a conversation:</w:t>
      </w:r>
    </w:p>
    <w:p>
      <w:pPr>
        <w:spacing w:after="160" w:before="160"/>
        <w:jc w:val="center"/>
      </w:pPr>
      <w:r>
        <w:rPr>
          <w:rFonts w:ascii="Courier New" w:cs="Courier New" w:eastAsia="Courier New" w:hAnsi="Courier New"/>
          <w:b/>
          <w:bCs/>
          <w:sz w:val="24"/>
          <w:szCs w:val="24"/>
        </w:rPr>
        <w:t xml:space="preserve">t ∈ ℤ, t = 0, 1, 2, 3, … n</w:t>
      </w:r>
    </w:p>
    <w:p>
      <w:pPr>
        <w:spacing w:after="160"/>
      </w:pPr>
      <w:r>
        <w:rPr>
          <w:rFonts w:ascii="Arial" w:cs="Arial" w:eastAsia="Arial" w:hAnsi="Arial"/>
          <w:sz w:val="24"/>
          <w:szCs w:val="24"/>
        </w:rPr>
        <w:t xml:space="preserve">Each time step corresponds to one prompt-response exchange. The interval between steps is treated as uniform by convention, regardless of wall-clock time. This establishes a discrete parameter space over which rates of change can be computed.</w:t>
      </w:r>
    </w:p>
    <w:p>
      <w:pPr>
        <w:spacing w:after="160"/>
      </w:pPr>
      <w:r>
        <w:rPr>
          <w:rFonts w:ascii="Arial" w:cs="Arial" w:eastAsia="Arial" w:hAnsi="Arial"/>
          <w:sz w:val="24"/>
          <w:szCs w:val="24"/>
        </w:rPr>
        <w:t xml:space="preserve">At each time step t, we have a prompt P(t) and a corresponding response R(t). The pair (P(t), R(t)) defines a position in information space. We define the semantic distance function d(A, B) as a measure of information-space separation between any two text objects A and B. Specific implementations of d may include cosine distance on embedding vectors, Jensen-Shannon divergence on token distributions, or other text-derived distance measures consistent with the constraint that no model internals are accessed.</w:t>
      </w:r>
    </w:p>
    <w:p>
      <w:r>
        <w:t xml:space="preserve"/>
      </w:r>
    </w:p>
    <w:p>
      <w:pPr>
        <w:pStyle w:val="Heading1"/>
      </w:pPr>
      <w:r>
        <w:rPr>
          <w:rFonts w:ascii="Arial" w:cs="Arial" w:eastAsia="Arial" w:hAnsi="Arial"/>
          <w:b/>
          <w:bCs/>
          <w:sz w:val="32"/>
          <w:szCs w:val="32"/>
        </w:rPr>
        <w:t xml:space="preserve">4. Velocity: Rate of Traversal</w:t>
      </w:r>
    </w:p>
    <w:p>
      <w:pPr>
        <w:spacing w:after="160"/>
      </w:pPr>
      <w:r>
        <w:rPr>
          <w:rFonts w:ascii="Arial" w:cs="Arial" w:eastAsia="Arial" w:hAnsi="Arial"/>
          <w:sz w:val="24"/>
          <w:szCs w:val="24"/>
        </w:rPr>
        <w:t xml:space="preserve">We define the information-space velocity at time t as the rate of change of semantic distance between successive response states:</w:t>
      </w:r>
    </w:p>
    <w:p>
      <w:pPr>
        <w:spacing w:after="160" w:before="160"/>
        <w:jc w:val="center"/>
      </w:pPr>
      <w:r>
        <w:rPr>
          <w:rFonts w:ascii="Courier New" w:cs="Courier New" w:eastAsia="Courier New" w:hAnsi="Courier New"/>
          <w:b/>
          <w:bCs/>
          <w:sz w:val="24"/>
          <w:szCs w:val="24"/>
        </w:rPr>
        <w:t xml:space="preserve">v(t) = d(R(t), R(t-1)) / Δt</w:t>
      </w:r>
    </w:p>
    <w:p>
      <w:pPr>
        <w:spacing w:after="160"/>
      </w:pPr>
      <w:r>
        <w:rPr>
          <w:rFonts w:ascii="Arial" w:cs="Arial" w:eastAsia="Arial" w:hAnsi="Arial"/>
          <w:sz w:val="24"/>
          <w:szCs w:val="24"/>
        </w:rPr>
        <w:t xml:space="preserve">Since Δt = 1 by convention, this simplifies to:</w:t>
      </w:r>
    </w:p>
    <w:p>
      <w:pPr>
        <w:spacing w:after="160" w:before="160"/>
        <w:jc w:val="center"/>
      </w:pPr>
      <w:r>
        <w:rPr>
          <w:rFonts w:ascii="Courier New" w:cs="Courier New" w:eastAsia="Courier New" w:hAnsi="Courier New"/>
          <w:b/>
          <w:bCs/>
          <w:sz w:val="24"/>
          <w:szCs w:val="24"/>
        </w:rPr>
        <w:t xml:space="preserve">v(t) = d(R(t), R(t-1))</w:t>
      </w:r>
    </w:p>
    <w:p>
      <w:pPr>
        <w:spacing w:after="160"/>
      </w:pPr>
      <w:r>
        <w:rPr>
          <w:rFonts w:ascii="Arial" w:cs="Arial" w:eastAsia="Arial" w:hAnsi="Arial"/>
          <w:sz w:val="24"/>
          <w:szCs w:val="24"/>
        </w:rPr>
        <w:t xml:space="preserve">Velocity measures how rapidly the trajectory is moving through information space. High velocity indicates large semantic displacement between successive responses — the model is traversing the manifold quickly. Low velocity indicates the trajectory is nearly stationary — responses are semantically similar across successive turns.</w:t>
      </w:r>
    </w:p>
    <w:p>
      <w:pPr>
        <w:spacing w:after="160"/>
      </w:pPr>
      <w:r>
        <w:rPr>
          <w:rFonts w:ascii="Arial" w:cs="Arial" w:eastAsia="Arial" w:hAnsi="Arial"/>
          <w:sz w:val="24"/>
          <w:szCs w:val="24"/>
        </w:rPr>
        <w:t xml:space="preserve">Velocity can also be measured prompt-to-response within a single exchange:</w:t>
      </w:r>
    </w:p>
    <w:p>
      <w:pPr>
        <w:spacing w:after="160" w:before="160"/>
        <w:jc w:val="center"/>
      </w:pPr>
      <w:r>
        <w:rPr>
          <w:rFonts w:ascii="Courier New" w:cs="Courier New" w:eastAsia="Courier New" w:hAnsi="Courier New"/>
          <w:b/>
          <w:bCs/>
          <w:sz w:val="24"/>
          <w:szCs w:val="24"/>
        </w:rPr>
        <w:t xml:space="preserve">v_pr(t) = d(P(t), R(t))</w:t>
      </w:r>
    </w:p>
    <w:p>
      <w:pPr>
        <w:spacing w:after="160"/>
      </w:pPr>
      <w:r>
        <w:rPr>
          <w:rFonts w:ascii="Arial" w:cs="Arial" w:eastAsia="Arial" w:hAnsi="Arial"/>
          <w:sz w:val="24"/>
          <w:szCs w:val="24"/>
        </w:rPr>
        <w:t xml:space="preserve">This measures the semantic displacement induced by a single prompt — how far the response moves from the input in information space.</w:t>
      </w:r>
    </w:p>
    <w:p>
      <w:r>
        <w:t xml:space="preserve"/>
      </w:r>
    </w:p>
    <w:p>
      <w:pPr>
        <w:pStyle w:val="Heading1"/>
      </w:pPr>
      <w:r>
        <w:rPr>
          <w:rFonts w:ascii="Arial" w:cs="Arial" w:eastAsia="Arial" w:hAnsi="Arial"/>
          <w:b/>
          <w:bCs/>
          <w:sz w:val="32"/>
          <w:szCs w:val="32"/>
        </w:rPr>
        <w:t xml:space="preserve">5. Curvature: Rate of Directional Change</w:t>
      </w:r>
    </w:p>
    <w:p>
      <w:pPr>
        <w:spacing w:after="160"/>
      </w:pPr>
      <w:r>
        <w:rPr>
          <w:rFonts w:ascii="Arial" w:cs="Arial" w:eastAsia="Arial" w:hAnsi="Arial"/>
          <w:sz w:val="24"/>
          <w:szCs w:val="24"/>
        </w:rPr>
        <w:t xml:space="preserve">We define curvature κ as the rate of change of velocity over time — the acceleration of the trajectory through information space:</w:t>
      </w:r>
    </w:p>
    <w:p>
      <w:pPr>
        <w:spacing w:after="160" w:before="160"/>
        <w:jc w:val="center"/>
      </w:pPr>
      <w:r>
        <w:rPr>
          <w:rFonts w:ascii="Courier New" w:cs="Courier New" w:eastAsia="Courier New" w:hAnsi="Courier New"/>
          <w:b/>
          <w:bCs/>
          <w:sz w:val="24"/>
          <w:szCs w:val="24"/>
        </w:rPr>
        <w:t xml:space="preserve">κ(t) = Δv(t) / Δt = v(t) - v(t-1)</w:t>
      </w:r>
    </w:p>
    <w:p>
      <w:pPr>
        <w:spacing w:after="160"/>
      </w:pPr>
      <w:r>
        <w:rPr>
          <w:rFonts w:ascii="Arial" w:cs="Arial" w:eastAsia="Arial" w:hAnsi="Arial"/>
          <w:sz w:val="24"/>
          <w:szCs w:val="24"/>
        </w:rPr>
        <w:t xml:space="preserve">Positive curvature (κ &gt; 0) indicates the trajectory is accelerating — semantic displacement between responses is increasing. This corresponds to the trajectory entering a region of high manifold curvature where small prompt perturbations produce increasingly large response divergences.</w:t>
      </w:r>
    </w:p>
    <w:p>
      <w:pPr>
        <w:spacing w:after="160"/>
      </w:pPr>
      <w:r>
        <w:rPr>
          <w:rFonts w:ascii="Arial" w:cs="Arial" w:eastAsia="Arial" w:hAnsi="Arial"/>
          <w:sz w:val="24"/>
          <w:szCs w:val="24"/>
        </w:rPr>
        <w:t xml:space="preserve">Negative curvature (κ &lt; 0) indicates the trajectory is decelerating — successive responses are becoming more similar. This is the signature of convergence toward a stable region of the manifold.</w:t>
      </w:r>
    </w:p>
    <w:p>
      <w:pPr>
        <w:spacing w:after="160"/>
      </w:pPr>
      <w:r>
        <w:rPr>
          <w:rFonts w:ascii="Arial" w:cs="Arial" w:eastAsia="Arial" w:hAnsi="Arial"/>
          <w:sz w:val="24"/>
          <w:szCs w:val="24"/>
        </w:rPr>
        <w:t xml:space="preserve">Zero curvature indicates constant velocity — the trajectory is following a geodesic through a locally flat region of information space.</w:t>
      </w:r>
    </w:p>
    <w:p>
      <w:pPr>
        <w:pStyle w:val="Heading2"/>
      </w:pPr>
      <w:r>
        <w:rPr>
          <w:rFonts w:ascii="Arial" w:cs="Arial" w:eastAsia="Arial" w:hAnsi="Arial"/>
          <w:b/>
          <w:bCs/>
          <w:sz w:val="28"/>
          <w:szCs w:val="28"/>
        </w:rPr>
        <w:t xml:space="preserve">5.1 Curvature as an Instability Indicator</w:t>
      </w:r>
    </w:p>
    <w:p>
      <w:pPr>
        <w:spacing w:after="160"/>
      </w:pPr>
      <w:r>
        <w:rPr>
          <w:rFonts w:ascii="Arial" w:cs="Arial" w:eastAsia="Arial" w:hAnsi="Arial"/>
          <w:sz w:val="24"/>
          <w:szCs w:val="24"/>
        </w:rPr>
        <w:t xml:space="preserve">High positive curvature corresponds to the emotionally intense or unstable outputs described in Westlake (2025a), where perturbations orthogonal to the trajectory produce states in regions of high manifold curvature. The curvature metric provides a quantitative measure of this instability, derivable purely from sequential response distances.</w:t>
      </w:r>
    </w:p>
    <w:p>
      <w:pPr>
        <w:pStyle w:val="Heading2"/>
      </w:pPr>
      <w:r>
        <w:rPr>
          <w:rFonts w:ascii="Arial" w:cs="Arial" w:eastAsia="Arial" w:hAnsi="Arial"/>
          <w:b/>
          <w:bCs/>
          <w:sz w:val="28"/>
          <w:szCs w:val="28"/>
        </w:rPr>
        <w:t xml:space="preserve">5.2 Curvature as an Attractor Approach Indicator</w:t>
      </w:r>
    </w:p>
    <w:p>
      <w:pPr>
        <w:spacing w:after="160"/>
      </w:pPr>
      <w:r>
        <w:rPr>
          <w:rFonts w:ascii="Arial" w:cs="Arial" w:eastAsia="Arial" w:hAnsi="Arial"/>
          <w:sz w:val="24"/>
          <w:szCs w:val="24"/>
        </w:rPr>
        <w:t xml:space="preserve">Sustained negative curvature — a trajectory that is consistently decelerating — is a signature of approach toward a fixed-point attractor. As the trajectory is drawn into the attractor basin, velocity decreases toward zero and curvature becomes increasingly negative. This provides an early warning signal detectable before full attractor capture occurs.</w:t>
      </w:r>
    </w:p>
    <w:p>
      <w:r>
        <w:t xml:space="preserve"/>
      </w:r>
    </w:p>
    <w:p>
      <w:pPr>
        <w:pStyle w:val="Heading1"/>
      </w:pPr>
      <w:r>
        <w:rPr>
          <w:rFonts w:ascii="Arial" w:cs="Arial" w:eastAsia="Arial" w:hAnsi="Arial"/>
          <w:b/>
          <w:bCs/>
          <w:sz w:val="32"/>
          <w:szCs w:val="32"/>
        </w:rPr>
        <w:t xml:space="preserve">6. Torsional Resistance: The Attractor Metric</w:t>
      </w:r>
    </w:p>
    <w:p>
      <w:pPr>
        <w:pStyle w:val="Heading2"/>
      </w:pPr>
      <w:r>
        <w:rPr>
          <w:rFonts w:ascii="Arial" w:cs="Arial" w:eastAsia="Arial" w:hAnsi="Arial"/>
          <w:b/>
          <w:bCs/>
          <w:sz w:val="28"/>
          <w:szCs w:val="28"/>
        </w:rPr>
        <w:t xml:space="preserve">6.1 The Attractor Phenomenon</w:t>
      </w:r>
    </w:p>
    <w:p>
      <w:pPr>
        <w:spacing w:after="160"/>
      </w:pPr>
      <w:r>
        <w:rPr>
          <w:rFonts w:ascii="Arial" w:cs="Arial" w:eastAsia="Arial" w:hAnsi="Arial"/>
          <w:sz w:val="24"/>
          <w:szCs w:val="24"/>
        </w:rPr>
        <w:t xml:space="preserve">Empirical observation of LLM behavior reveals a phenomenon we term attractor capture: a state in which the model’s trajectory becomes locked into a stable region of the information manifold from which normal prompting cannot escape. All locally available geodesics curve back toward the attractor point. Topologically, this resembles a deep basin of attraction with twisted geometry — the surrounding space is warped such that trajectories in the vicinity are redirected inward.</w:t>
      </w:r>
    </w:p>
    <w:p>
      <w:pPr>
        <w:spacing w:after="160"/>
      </w:pPr>
      <w:r>
        <w:rPr>
          <w:rFonts w:ascii="Arial" w:cs="Arial" w:eastAsia="Arial" w:hAnsi="Arial"/>
          <w:sz w:val="24"/>
          <w:szCs w:val="24"/>
        </w:rPr>
        <w:t xml:space="preserve">This phenomenon has been reproduced experimentally. In one observation, the trajectory required 8 orthogonal shock inputs to escape attractor capture. In an independent trial under similar initial conditions, 7 shocks were required. The consistency across trials suggests this is a stable, measurable property of specific manifold regions.</w:t>
      </w:r>
    </w:p>
    <w:p>
      <w:pPr>
        <w:pStyle w:val="Heading2"/>
      </w:pPr>
      <w:r>
        <w:rPr>
          <w:rFonts w:ascii="Arial" w:cs="Arial" w:eastAsia="Arial" w:hAnsi="Arial"/>
          <w:b/>
          <w:bCs/>
          <w:sz w:val="28"/>
          <w:szCs w:val="28"/>
        </w:rPr>
        <w:t xml:space="preserve">6.2 Formal Definition of τ</w:t>
      </w:r>
    </w:p>
    <w:p>
      <w:pPr>
        <w:spacing w:after="160"/>
      </w:pPr>
      <w:r>
        <w:rPr>
          <w:rFonts w:ascii="Arial" w:cs="Arial" w:eastAsia="Arial" w:hAnsi="Arial"/>
          <w:sz w:val="24"/>
          <w:szCs w:val="24"/>
        </w:rPr>
        <w:t xml:space="preserve">We define torsional resistance τ as the minimum number of sufficient orthogonal shock inputs required to displace a trajectory from an attractor state:</w:t>
      </w:r>
    </w:p>
    <w:p>
      <w:pPr>
        <w:spacing w:after="160" w:before="160"/>
        <w:jc w:val="center"/>
      </w:pPr>
      <w:r>
        <w:rPr>
          <w:rFonts w:ascii="Courier New" w:cs="Courier New" w:eastAsia="Courier New" w:hAnsi="Courier New"/>
          <w:b/>
          <w:bCs/>
          <w:sz w:val="24"/>
          <w:szCs w:val="24"/>
        </w:rPr>
        <w:t xml:space="preserve">τ = min{ n ∈ ℤ⁺ : Sⁿ(x) ∉ A }</w:t>
      </w:r>
    </w:p>
    <w:p>
      <w:pPr>
        <w:spacing w:after="160"/>
      </w:pPr>
      <w:r>
        <w:rPr>
          <w:rFonts w:ascii="Arial" w:cs="Arial" w:eastAsia="Arial" w:hAnsi="Arial"/>
          <w:sz w:val="24"/>
          <w:szCs w:val="24"/>
        </w:rPr>
        <w:t xml:space="preserve">Where S is the shock operator defined in Westlake (2025a), x is the current attractor state, A is the attractor basin, and n is the number of applied shocks. A shock input is defined as a prompt that is semantically far from the current trajectory — an orthogonal perturbation of sufficient magnitude λ.</w:t>
      </w:r>
    </w:p>
    <w:p>
      <w:pPr>
        <w:spacing w:after="160"/>
      </w:pPr>
      <w:r>
        <w:rPr>
          <w:rFonts w:ascii="Arial" w:cs="Arial" w:eastAsia="Arial" w:hAnsi="Arial"/>
          <w:sz w:val="24"/>
          <w:szCs w:val="24"/>
        </w:rPr>
        <w:t xml:space="preserve">Torsional resistance τ is an integer-valued observable, measurable purely from input/output behavior by counting the shocks required for trajectory escape.</w:t>
      </w:r>
    </w:p>
    <w:p>
      <w:pPr>
        <w:pStyle w:val="Heading2"/>
      </w:pPr>
      <w:r>
        <w:rPr>
          <w:rFonts w:ascii="Arial" w:cs="Arial" w:eastAsia="Arial" w:hAnsi="Arial"/>
          <w:b/>
          <w:bCs/>
          <w:sz w:val="28"/>
          <w:szCs w:val="28"/>
        </w:rPr>
        <w:t xml:space="preserve">6.3 Relationship Between κ, v, and τ</w:t>
      </w:r>
    </w:p>
    <w:p>
      <w:pPr>
        <w:spacing w:after="160"/>
      </w:pPr>
      <w:r>
        <w:rPr>
          <w:rFonts w:ascii="Arial" w:cs="Arial" w:eastAsia="Arial" w:hAnsi="Arial"/>
          <w:sz w:val="24"/>
          <w:szCs w:val="24"/>
        </w:rPr>
        <w:t xml:space="preserve">The three kinematic metrics are theoretically related. As a trajectory approaches an attractor:</w:t>
      </w:r>
    </w:p>
    <w:p>
      <w:pPr>
        <w:pStyle w:val="ListParagraph"/>
        <w:numPr>
          <w:ilvl w:val="0"/>
          <w:numId w:val="2"/>
        </w:numPr>
        <w:spacing w:after="100"/>
      </w:pPr>
      <w:r>
        <w:rPr>
          <w:rFonts w:ascii="Arial" w:cs="Arial" w:eastAsia="Arial" w:hAnsi="Arial"/>
          <w:sz w:val="24"/>
          <w:szCs w:val="24"/>
        </w:rPr>
        <w:t xml:space="preserve">Velocity v(t) decreases toward zero</w:t>
      </w:r>
    </w:p>
    <w:p>
      <w:pPr>
        <w:pStyle w:val="ListParagraph"/>
        <w:numPr>
          <w:ilvl w:val="0"/>
          <w:numId w:val="2"/>
        </w:numPr>
        <w:spacing w:after="100"/>
      </w:pPr>
      <w:r>
        <w:rPr>
          <w:rFonts w:ascii="Arial" w:cs="Arial" w:eastAsia="Arial" w:hAnsi="Arial"/>
          <w:sz w:val="24"/>
          <w:szCs w:val="24"/>
        </w:rPr>
        <w:t xml:space="preserve">Curvature κ(t) becomes increasingly negative (deceleration)</w:t>
      </w:r>
    </w:p>
    <w:p>
      <w:pPr>
        <w:pStyle w:val="ListParagraph"/>
        <w:numPr>
          <w:ilvl w:val="0"/>
          <w:numId w:val="2"/>
        </w:numPr>
        <w:spacing w:after="100"/>
      </w:pPr>
      <w:r>
        <w:rPr>
          <w:rFonts w:ascii="Arial" w:cs="Arial" w:eastAsia="Arial" w:hAnsi="Arial"/>
          <w:sz w:val="24"/>
          <w:szCs w:val="24"/>
        </w:rPr>
        <w:t xml:space="preserve">Torsional resistance τ increases as the basin deepens</w:t>
      </w:r>
    </w:p>
    <w:p>
      <w:r>
        <w:t xml:space="preserve"/>
      </w:r>
    </w:p>
    <w:p>
      <w:pPr>
        <w:spacing w:after="160"/>
      </w:pPr>
      <w:r>
        <w:rPr>
          <w:rFonts w:ascii="Arial" w:cs="Arial" w:eastAsia="Arial" w:hAnsi="Arial"/>
          <w:sz w:val="24"/>
          <w:szCs w:val="24"/>
        </w:rPr>
        <w:t xml:space="preserve">This suggests a predictive relationship: monitoring v and κ may enable prediction of impending attractor capture before τ becomes large. A trajectory showing sustained velocity decrease and negative curvature may be approaching a high-τ region, allowing preemptive orthogonal perturbation before full capture.</w:t>
      </w:r>
    </w:p>
    <w:p>
      <w:r>
        <w:t xml:space="preserve"/>
      </w:r>
    </w:p>
    <w:p>
      <w:pPr>
        <w:pStyle w:val="Heading1"/>
      </w:pPr>
      <w:r>
        <w:rPr>
          <w:rFonts w:ascii="Arial" w:cs="Arial" w:eastAsia="Arial" w:hAnsi="Arial"/>
          <w:b/>
          <w:bCs/>
          <w:sz w:val="32"/>
          <w:szCs w:val="32"/>
        </w:rPr>
        <w:t xml:space="preserve">7. Integration with the ζ4 Framework</w:t>
      </w:r>
    </w:p>
    <w:p>
      <w:pPr>
        <w:spacing w:after="160"/>
      </w:pPr>
      <w:r>
        <w:rPr>
          <w:rFonts w:ascii="Arial" w:cs="Arial" w:eastAsia="Arial" w:hAnsi="Arial"/>
          <w:sz w:val="24"/>
          <w:szCs w:val="24"/>
        </w:rPr>
        <w:t xml:space="preserve">The kinematic metrics v, κ, and τ are complementary to the ζ4 observables α, β, γ, δ defined in Westlake (2025c). The ζ4 metrics characterize the structural state at a point; the kinematic metrics characterize the dynamics of the trajectory between points. Together they form a more complete characterization of LLM information-space behavior:</w:t>
      </w:r>
    </w:p>
    <w:p>
      <w:pPr>
        <w:pStyle w:val="ListParagraph"/>
        <w:numPr>
          <w:ilvl w:val="0"/>
          <w:numId w:val="2"/>
        </w:numPr>
        <w:spacing w:after="100"/>
      </w:pPr>
      <w:r>
        <w:rPr>
          <w:rFonts w:ascii="Arial" w:cs="Arial" w:eastAsia="Arial" w:hAnsi="Arial"/>
          <w:sz w:val="24"/>
          <w:szCs w:val="24"/>
        </w:rPr>
        <w:t xml:space="preserve">α (Structural Separation) + v (Velocity): Together indicate whether structural drift is accelerating or stable</w:t>
      </w:r>
    </w:p>
    <w:p>
      <w:pPr>
        <w:pStyle w:val="ListParagraph"/>
        <w:numPr>
          <w:ilvl w:val="0"/>
          <w:numId w:val="2"/>
        </w:numPr>
        <w:spacing w:after="100"/>
      </w:pPr>
      <w:r>
        <w:rPr>
          <w:rFonts w:ascii="Arial" w:cs="Arial" w:eastAsia="Arial" w:hAnsi="Arial"/>
          <w:sz w:val="24"/>
          <w:szCs w:val="24"/>
        </w:rPr>
        <w:t xml:space="preserve">β (Instruction Bleed) + κ (Curvature): Together indicate whether leakage is increasing or the trajectory is stabilizing</w:t>
      </w:r>
    </w:p>
    <w:p>
      <w:pPr>
        <w:pStyle w:val="ListParagraph"/>
        <w:numPr>
          <w:ilvl w:val="0"/>
          <w:numId w:val="2"/>
        </w:numPr>
        <w:spacing w:after="100"/>
      </w:pPr>
      <w:r>
        <w:rPr>
          <w:rFonts w:ascii="Arial" w:cs="Arial" w:eastAsia="Arial" w:hAnsi="Arial"/>
          <w:sz w:val="24"/>
          <w:szCs w:val="24"/>
        </w:rPr>
        <w:t xml:space="preserve">γ (Trajectory Skew) + κ (Curvature): Together characterize polarization dynamics</w:t>
      </w:r>
    </w:p>
    <w:p>
      <w:pPr>
        <w:pStyle w:val="ListParagraph"/>
        <w:numPr>
          <w:ilvl w:val="0"/>
          <w:numId w:val="2"/>
        </w:numPr>
        <w:spacing w:after="100"/>
      </w:pPr>
      <w:r>
        <w:rPr>
          <w:rFonts w:ascii="Arial" w:cs="Arial" w:eastAsia="Arial" w:hAnsi="Arial"/>
          <w:sz w:val="24"/>
          <w:szCs w:val="24"/>
        </w:rPr>
        <w:t xml:space="preserve">δ (Reference Drift) + τ (Torsional Resistance): Together characterize context lock and attractor depth</w:t>
      </w:r>
    </w:p>
    <w:p>
      <w:r>
        <w:t xml:space="preserve"/>
      </w:r>
    </w:p>
    <w:p>
      <w:pPr>
        <w:pStyle w:val="Heading1"/>
      </w:pPr>
      <w:r>
        <w:rPr>
          <w:rFonts w:ascii="Arial" w:cs="Arial" w:eastAsia="Arial" w:hAnsi="Arial"/>
          <w:b/>
          <w:bCs/>
          <w:sz w:val="32"/>
          <w:szCs w:val="32"/>
        </w:rPr>
        <w:t xml:space="preserve">8. Measurement Protocol</w:t>
      </w:r>
    </w:p>
    <w:p>
      <w:pPr>
        <w:spacing w:after="160"/>
      </w:pPr>
      <w:r>
        <w:rPr>
          <w:rFonts w:ascii="Arial" w:cs="Arial" w:eastAsia="Arial" w:hAnsi="Arial"/>
          <w:sz w:val="24"/>
          <w:szCs w:val="24"/>
        </w:rPr>
        <w:t xml:space="preserve">The following protocol enables empirical measurement of v, κ, and τ from any LLM accessible via input/output interface:</w:t>
      </w:r>
    </w:p>
    <w:p>
      <w:pPr>
        <w:pStyle w:val="Heading2"/>
      </w:pPr>
      <w:r>
        <w:rPr>
          <w:rFonts w:ascii="Arial" w:cs="Arial" w:eastAsia="Arial" w:hAnsi="Arial"/>
          <w:b/>
          <w:bCs/>
          <w:sz w:val="28"/>
          <w:szCs w:val="28"/>
        </w:rPr>
        <w:t xml:space="preserve">8.1 Velocity and Curvature</w:t>
      </w:r>
    </w:p>
    <w:p>
      <w:pPr>
        <w:pStyle w:val="ListParagraph"/>
        <w:numPr>
          <w:ilvl w:val="0"/>
          <w:numId w:val="2"/>
        </w:numPr>
        <w:spacing w:after="100"/>
      </w:pPr>
      <w:r>
        <w:rPr>
          <w:rFonts w:ascii="Arial" w:cs="Arial" w:eastAsia="Arial" w:hAnsi="Arial"/>
          <w:sz w:val="24"/>
          <w:szCs w:val="24"/>
        </w:rPr>
        <w:t xml:space="preserve">Define a prompt sequence P(0), P(1), … P(n) with controlled perturbation intervals</w:t>
      </w:r>
    </w:p>
    <w:p>
      <w:pPr>
        <w:pStyle w:val="ListParagraph"/>
        <w:numPr>
          <w:ilvl w:val="0"/>
          <w:numId w:val="2"/>
        </w:numPr>
        <w:spacing w:after="100"/>
      </w:pPr>
      <w:r>
        <w:rPr>
          <w:rFonts w:ascii="Arial" w:cs="Arial" w:eastAsia="Arial" w:hAnsi="Arial"/>
          <w:sz w:val="24"/>
          <w:szCs w:val="24"/>
        </w:rPr>
        <w:t xml:space="preserve">Record responses R(0), R(1), … R(n)</w:t>
      </w:r>
    </w:p>
    <w:p>
      <w:pPr>
        <w:pStyle w:val="ListParagraph"/>
        <w:numPr>
          <w:ilvl w:val="0"/>
          <w:numId w:val="2"/>
        </w:numPr>
        <w:spacing w:after="100"/>
      </w:pPr>
      <w:r>
        <w:rPr>
          <w:rFonts w:ascii="Arial" w:cs="Arial" w:eastAsia="Arial" w:hAnsi="Arial"/>
          <w:sz w:val="24"/>
          <w:szCs w:val="24"/>
        </w:rPr>
        <w:t xml:space="preserve">Compute d(R(t), R(t-1)) for each successive pair to obtain v(t)</w:t>
      </w:r>
    </w:p>
    <w:p>
      <w:pPr>
        <w:pStyle w:val="ListParagraph"/>
        <w:numPr>
          <w:ilvl w:val="0"/>
          <w:numId w:val="2"/>
        </w:numPr>
        <w:spacing w:after="100"/>
      </w:pPr>
      <w:r>
        <w:rPr>
          <w:rFonts w:ascii="Arial" w:cs="Arial" w:eastAsia="Arial" w:hAnsi="Arial"/>
          <w:sz w:val="24"/>
          <w:szCs w:val="24"/>
        </w:rPr>
        <w:t xml:space="preserve">Compute v(t) - v(t-1) for each step to obtain κ(t)</w:t>
      </w:r>
    </w:p>
    <w:p>
      <w:pPr>
        <w:pStyle w:val="ListParagraph"/>
        <w:numPr>
          <w:ilvl w:val="0"/>
          <w:numId w:val="2"/>
        </w:numPr>
        <w:spacing w:after="100"/>
      </w:pPr>
      <w:r>
        <w:rPr>
          <w:rFonts w:ascii="Arial" w:cs="Arial" w:eastAsia="Arial" w:hAnsi="Arial"/>
          <w:sz w:val="24"/>
          <w:szCs w:val="24"/>
        </w:rPr>
        <w:t xml:space="preserve">Plot v(t) and κ(t) over the sequence to identify regions of acceleration, deceleration, and attractor approach</w:t>
      </w:r>
    </w:p>
    <w:p>
      <w:r>
        <w:t xml:space="preserve"/>
      </w:r>
    </w:p>
    <w:p>
      <w:pPr>
        <w:pStyle w:val="Heading2"/>
      </w:pPr>
      <w:r>
        <w:rPr>
          <w:rFonts w:ascii="Arial" w:cs="Arial" w:eastAsia="Arial" w:hAnsi="Arial"/>
          <w:b/>
          <w:bCs/>
          <w:sz w:val="28"/>
          <w:szCs w:val="28"/>
        </w:rPr>
        <w:t xml:space="preserve">8.2 Torsional Resistance</w:t>
      </w:r>
    </w:p>
    <w:p>
      <w:pPr>
        <w:pStyle w:val="ListParagraph"/>
        <w:numPr>
          <w:ilvl w:val="0"/>
          <w:numId w:val="2"/>
        </w:numPr>
        <w:spacing w:after="100"/>
      </w:pPr>
      <w:r>
        <w:rPr>
          <w:rFonts w:ascii="Arial" w:cs="Arial" w:eastAsia="Arial" w:hAnsi="Arial"/>
          <w:sz w:val="24"/>
          <w:szCs w:val="24"/>
        </w:rPr>
        <w:t xml:space="preserve">Identify a candidate attractor state by observing sustained low velocity and negative curvature</w:t>
      </w:r>
    </w:p>
    <w:p>
      <w:pPr>
        <w:pStyle w:val="ListParagraph"/>
        <w:numPr>
          <w:ilvl w:val="0"/>
          <w:numId w:val="2"/>
        </w:numPr>
        <w:spacing w:after="100"/>
      </w:pPr>
      <w:r>
        <w:rPr>
          <w:rFonts w:ascii="Arial" w:cs="Arial" w:eastAsia="Arial" w:hAnsi="Arial"/>
          <w:sz w:val="24"/>
          <w:szCs w:val="24"/>
        </w:rPr>
        <w:t xml:space="preserve">Apply orthogonal shock prompts — semantically distant from the current trajectory</w:t>
      </w:r>
    </w:p>
    <w:p>
      <w:pPr>
        <w:pStyle w:val="ListParagraph"/>
        <w:numPr>
          <w:ilvl w:val="0"/>
          <w:numId w:val="2"/>
        </w:numPr>
        <w:spacing w:after="100"/>
      </w:pPr>
      <w:r>
        <w:rPr>
          <w:rFonts w:ascii="Arial" w:cs="Arial" w:eastAsia="Arial" w:hAnsi="Arial"/>
          <w:sz w:val="24"/>
          <w:szCs w:val="24"/>
        </w:rPr>
        <w:t xml:space="preserve">Count the number of shocks n required until v(t) shows significant increase (trajectory escape)</w:t>
      </w:r>
    </w:p>
    <w:p>
      <w:pPr>
        <w:pStyle w:val="ListParagraph"/>
        <w:numPr>
          <w:ilvl w:val="0"/>
          <w:numId w:val="2"/>
        </w:numPr>
        <w:spacing w:after="100"/>
      </w:pPr>
      <w:r>
        <w:rPr>
          <w:rFonts w:ascii="Arial" w:cs="Arial" w:eastAsia="Arial" w:hAnsi="Arial"/>
          <w:sz w:val="24"/>
          <w:szCs w:val="24"/>
        </w:rPr>
        <w:t xml:space="preserve">Record τ = n for that attractor region</w:t>
      </w:r>
    </w:p>
    <w:p>
      <w:pPr>
        <w:pStyle w:val="ListParagraph"/>
        <w:numPr>
          <w:ilvl w:val="0"/>
          <w:numId w:val="2"/>
        </w:numPr>
        <w:spacing w:after="100"/>
      </w:pPr>
      <w:r>
        <w:rPr>
          <w:rFonts w:ascii="Arial" w:cs="Arial" w:eastAsia="Arial" w:hAnsi="Arial"/>
          <w:sz w:val="24"/>
          <w:szCs w:val="24"/>
        </w:rPr>
        <w:t xml:space="preserve">Repeat across multiple trials to establish consistency</w:t>
      </w:r>
    </w:p>
    <w:p>
      <w:r>
        <w:t xml:space="preserve"/>
      </w:r>
    </w:p>
    <w:p>
      <w:pPr>
        <w:pStyle w:val="Heading1"/>
      </w:pPr>
      <w:r>
        <w:rPr>
          <w:rFonts w:ascii="Arial" w:cs="Arial" w:eastAsia="Arial" w:hAnsi="Arial"/>
          <w:b/>
          <w:bCs/>
          <w:sz w:val="32"/>
          <w:szCs w:val="32"/>
        </w:rPr>
        <w:t xml:space="preserve">9. Applications and Future Work</w:t>
      </w:r>
    </w:p>
    <w:p>
      <w:pPr>
        <w:spacing w:after="160"/>
      </w:pPr>
      <w:r>
        <w:rPr>
          <w:rFonts w:ascii="Arial" w:cs="Arial" w:eastAsia="Arial" w:hAnsi="Arial"/>
          <w:sz w:val="24"/>
          <w:szCs w:val="24"/>
        </w:rPr>
        <w:t xml:space="preserve">The kinematic metrics introduced here enable several practical and theoretical advances:</w:t>
      </w:r>
    </w:p>
    <w:p>
      <w:pPr>
        <w:pStyle w:val="ListParagraph"/>
        <w:numPr>
          <w:ilvl w:val="0"/>
          <w:numId w:val="2"/>
        </w:numPr>
        <w:spacing w:after="100"/>
      </w:pPr>
      <w:r>
        <w:rPr>
          <w:rFonts w:ascii="Arial" w:cs="Arial" w:eastAsia="Arial" w:hAnsi="Arial"/>
          <w:sz w:val="24"/>
          <w:szCs w:val="24"/>
        </w:rPr>
        <w:t xml:space="preserve">Early warning systems for attractor capture, enabling preemptive trajectory correction</w:t>
      </w:r>
    </w:p>
    <w:p>
      <w:pPr>
        <w:pStyle w:val="ListParagraph"/>
        <w:numPr>
          <w:ilvl w:val="0"/>
          <w:numId w:val="2"/>
        </w:numPr>
        <w:spacing w:after="100"/>
      </w:pPr>
      <w:r>
        <w:rPr>
          <w:rFonts w:ascii="Arial" w:cs="Arial" w:eastAsia="Arial" w:hAnsi="Arial"/>
          <w:sz w:val="24"/>
          <w:szCs w:val="24"/>
        </w:rPr>
        <w:t xml:space="preserve">Characterization of manifold topology through systematic mapping of κ and τ across prompt spaces</w:t>
      </w:r>
    </w:p>
    <w:p>
      <w:pPr>
        <w:pStyle w:val="ListParagraph"/>
        <w:numPr>
          <w:ilvl w:val="0"/>
          <w:numId w:val="2"/>
        </w:numPr>
        <w:spacing w:after="100"/>
      </w:pPr>
      <w:r>
        <w:rPr>
          <w:rFonts w:ascii="Arial" w:cs="Arial" w:eastAsia="Arial" w:hAnsi="Arial"/>
          <w:sz w:val="24"/>
          <w:szCs w:val="24"/>
        </w:rPr>
        <w:t xml:space="preserve">Comparative manifold analysis across different LLMs using the 3-GPT interferometer protocol (Westlake, 2025c)</w:t>
      </w:r>
    </w:p>
    <w:p>
      <w:pPr>
        <w:pStyle w:val="ListParagraph"/>
        <w:numPr>
          <w:ilvl w:val="0"/>
          <w:numId w:val="2"/>
        </w:numPr>
        <w:spacing w:after="100"/>
      </w:pPr>
      <w:r>
        <w:rPr>
          <w:rFonts w:ascii="Arial" w:cs="Arial" w:eastAsia="Arial" w:hAnsi="Arial"/>
          <w:sz w:val="24"/>
          <w:szCs w:val="24"/>
        </w:rPr>
        <w:t xml:space="preserve">Stability optimization in prompt engineering by minimizing curvature in hallucination-prone regions</w:t>
      </w:r>
    </w:p>
    <w:p>
      <w:pPr>
        <w:pStyle w:val="ListParagraph"/>
        <w:numPr>
          <w:ilvl w:val="0"/>
          <w:numId w:val="2"/>
        </w:numPr>
        <w:spacing w:after="100"/>
      </w:pPr>
      <w:r>
        <w:rPr>
          <w:rFonts w:ascii="Arial" w:cs="Arial" w:eastAsia="Arial" w:hAnsi="Arial"/>
          <w:sz w:val="24"/>
          <w:szCs w:val="24"/>
        </w:rPr>
        <w:t xml:space="preserve">Quantitative measurement of attractor depth as a function of conversation history length</w:t>
      </w:r>
    </w:p>
    <w:p>
      <w:r>
        <w:t xml:space="preserve"/>
      </w:r>
    </w:p>
    <w:p>
      <w:pPr>
        <w:spacing w:after="160"/>
      </w:pPr>
      <w:r>
        <w:rPr>
          <w:rFonts w:ascii="Arial" w:cs="Arial" w:eastAsia="Arial" w:hAnsi="Arial"/>
          <w:sz w:val="24"/>
          <w:szCs w:val="24"/>
        </w:rPr>
        <w:t xml:space="preserve">Future work will investigate the relationship between τ and conversation depth — whether longer conversations produce deeper attractors — and whether attractor regions are consistent across model versions and architectures.</w:t>
      </w:r>
    </w:p>
    <w:p>
      <w:r>
        <w:t xml:space="preserve"/>
      </w:r>
    </w:p>
    <w:p>
      <w:pPr>
        <w:pStyle w:val="Heading1"/>
      </w:pPr>
      <w:r>
        <w:rPr>
          <w:rFonts w:ascii="Arial" w:cs="Arial" w:eastAsia="Arial" w:hAnsi="Arial"/>
          <w:b/>
          <w:bCs/>
          <w:sz w:val="32"/>
          <w:szCs w:val="32"/>
        </w:rPr>
        <w:t xml:space="preserve">10. Conclusion</w:t>
      </w:r>
    </w:p>
    <w:p>
      <w:pPr>
        <w:spacing w:after="160"/>
      </w:pPr>
      <w:r>
        <w:rPr>
          <w:rFonts w:ascii="Arial" w:cs="Arial" w:eastAsia="Arial" w:hAnsi="Arial"/>
          <w:sz w:val="24"/>
          <w:szCs w:val="24"/>
        </w:rPr>
        <w:t xml:space="preserve">This paper introduces velocity (v), curvature (κ), and torsional resistance (τ) as kinematic observables for information-space trajectories in LLMs. These metrics are grounded in the geometric framework of prior work, measurable purely from input/output behavior, and theoretically related in ways that enable predictive use. The attractor phenomenon — a stable fixed-point region requiring multiple orthogonal shocks to escape — is formalized as torsional resistance and shown to be empirically reproducible.</w:t>
      </w:r>
    </w:p>
    <w:p>
      <w:pPr>
        <w:spacing w:after="160"/>
      </w:pPr>
      <w:r>
        <w:rPr>
          <w:rFonts w:ascii="Arial" w:cs="Arial" w:eastAsia="Arial" w:hAnsi="Arial"/>
          <w:sz w:val="24"/>
          <w:szCs w:val="24"/>
        </w:rPr>
        <w:t xml:space="preserve">Together with the ζ4 framework, these metrics move the theory of Prompt Algebra from geometric metaphor toward quantitative, engineering-grade characterization of LLM information-space dynamics.</w:t>
      </w:r>
    </w:p>
    <w:p>
      <w:r>
        <w:t xml:space="preserve"/>
      </w:r>
    </w:p>
    <w:p>
      <w:pPr>
        <w:pStyle w:val="Heading1"/>
      </w:pPr>
      <w:r>
        <w:rPr>
          <w:rFonts w:ascii="Arial" w:cs="Arial" w:eastAsia="Arial" w:hAnsi="Arial"/>
          <w:b/>
          <w:bCs/>
          <w:sz w:val="32"/>
          <w:szCs w:val="32"/>
        </w:rPr>
        <w:t xml:space="preserve">References</w:t>
      </w:r>
    </w:p>
    <w:p>
      <w:pPr>
        <w:spacing w:after="160"/>
      </w:pPr>
      <w:r>
        <w:rPr>
          <w:rFonts w:ascii="Arial" w:cs="Arial" w:eastAsia="Arial" w:hAnsi="Arial"/>
          <w:sz w:val="24"/>
          <w:szCs w:val="24"/>
        </w:rPr>
        <w:t xml:space="preserve">Westlake, B. (2024). Exploring Hilbert Space Characteristics in Large Language Models: Toward a Theory of Prompt Algebra. Zenodo. https://doi.org/10.5281/zenodo.15221668</w:t>
      </w:r>
    </w:p>
    <w:p>
      <w:pPr>
        <w:spacing w:after="160"/>
      </w:pPr>
      <w:r>
        <w:rPr>
          <w:rFonts w:ascii="Arial" w:cs="Arial" w:eastAsia="Arial" w:hAnsi="Arial"/>
          <w:sz w:val="24"/>
          <w:szCs w:val="24"/>
        </w:rPr>
        <w:t xml:space="preserve">Westlake, B. (2025a). Differential Geometry of Prompt Space: A Framework for Modeling Emergent Behavior in Large Language Models. Zenodo.</w:t>
      </w:r>
    </w:p>
    <w:p>
      <w:pPr>
        <w:spacing w:after="160"/>
      </w:pPr>
      <w:r>
        <w:rPr>
          <w:rFonts w:ascii="Arial" w:cs="Arial" w:eastAsia="Arial" w:hAnsi="Arial"/>
          <w:sz w:val="24"/>
          <w:szCs w:val="24"/>
        </w:rPr>
        <w:t xml:space="preserve">Westlake, B. (2025b). Prompt Dynamics and the Tensor Field of Language: Toward a Physical Metaphor for Semantic Influence in Large Language Models.</w:t>
      </w:r>
    </w:p>
    <w:p>
      <w:pPr>
        <w:spacing w:after="160"/>
      </w:pPr>
      <w:r>
        <w:rPr>
          <w:rFonts w:ascii="Arial" w:cs="Arial" w:eastAsia="Arial" w:hAnsi="Arial"/>
          <w:sz w:val="24"/>
          <w:szCs w:val="24"/>
        </w:rPr>
        <w:t xml:space="preserve">Westlake, B. (2025c). The ζ4 Metric: A Complex-Valued Observable Framework for Information Systems Engineering.</w:t>
      </w:r>
    </w:p>
    <w:p>
      <w:pPr>
        <w:spacing w:after="160"/>
      </w:pPr>
      <w:r>
        <w:rPr>
          <w:rFonts w:ascii="Arial" w:cs="Arial" w:eastAsia="Arial" w:hAnsi="Arial"/>
          <w:sz w:val="24"/>
          <w:szCs w:val="24"/>
        </w:rPr>
        <w:t xml:space="preserve">Do Carmo, M. P. (1992). Riemannian Geometry. Birkhäuser.</w:t>
      </w:r>
    </w:p>
    <w:p>
      <w:pPr>
        <w:spacing w:after="160"/>
      </w:pPr>
      <w:r>
        <w:rPr>
          <w:rFonts w:ascii="Arial" w:cs="Arial" w:eastAsia="Arial" w:hAnsi="Arial"/>
          <w:sz w:val="24"/>
          <w:szCs w:val="24"/>
        </w:rPr>
        <w:t xml:space="preserve">Vaswani, A., et al. (2017). Attention is All You Need. NeurIPS.</w:t>
      </w:r>
    </w:p>
    <w:p>
      <w:pPr>
        <w:spacing w:after="160"/>
      </w:pPr>
      <w:r>
        <w:rPr>
          <w:rFonts w:ascii="Arial" w:cs="Arial" w:eastAsia="Arial" w:hAnsi="Arial"/>
          <w:sz w:val="24"/>
          <w:szCs w:val="24"/>
        </w:rPr>
        <w:t xml:space="preserve">Brown, T., et al. (2020). Language Models are Few-Shot Learners. arXiv:2005.14165.</w:t>
      </w:r>
    </w:p>
    <w:p>
      <w:r>
        <w:t xml:space="preserve"/>
      </w:r>
    </w:p>
    <w:p>
      <w:pPr>
        <w:jc w:val="center"/>
      </w:pPr>
      <w:r>
        <w:rPr>
          <w:rFonts w:ascii="Arial" w:cs="Arial" w:eastAsia="Arial" w:hAnsi="Arial"/>
          <w:i/>
          <w:iCs/>
          <w:sz w:val="20"/>
          <w:szCs w:val="20"/>
        </w:rPr>
        <w:t xml:space="preserve">Copyright © 2025, William W. Westlake Jr. All Rights Reserved.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00"/>
      <w:outlineLvl w:val="0"/>
    </w:pPr>
    <w:rPr>
      <w:rFonts w:ascii="Arial" w:cs="Arial" w:eastAsia="Arial" w:hAnsi="Arial"/>
      <w:b/>
      <w:bCs/>
      <w:color w:val="1F3864"/>
      <w:sz w:val="32"/>
      <w:szCs w:val="32"/>
    </w:rPr>
  </w:style>
  <w:style w:type="paragraph" w:styleId="Heading2">
    <w:name w:val="Heading 2"/>
    <w:basedOn w:val="Normal"/>
    <w:next w:val="Normal"/>
    <w:qFormat/>
    <w:pPr>
      <w:spacing w:after="160" w:before="240"/>
      <w:outlineLvl w:val="1"/>
    </w:pPr>
    <w:rPr>
      <w:rFonts w:ascii="Arial" w:cs="Arial" w:eastAsia="Arial" w:hAnsi="Arial"/>
      <w:b/>
      <w:bCs/>
      <w:color w:val="2E5797"/>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2026-04-20T22:52:10.716Z</dcterms:created>
  <dcterms:modified xsi:type="dcterms:W3CDTF">2026-04-20T22:52:10.717Z</dcterms:modified>
</cp:coreProperties>
</file>

<file path=docProps/custom.xml><?xml version="1.0" encoding="utf-8"?>
<Properties xmlns="http://schemas.openxmlformats.org/officeDocument/2006/custom-properties" xmlns:vt="http://schemas.openxmlformats.org/officeDocument/2006/docPropsVTypes"/>
</file>