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Information Space Dynamics in Large Language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A Unified Mathematical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William W. Westlake Jr., BSEE, MIS  |  Version 3.0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Axiom A₀ — Principle of Pure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All observables are derived exclusively from the prompt-response event horizon. No access to weights, activations, or internal state is assumed. The framework is architecture-agnostic.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The Ambient Space and Embedding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Complete inner-product space (Hilbert Space) over all token probability distributions.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Information manifold — the LLM-reachable submanifold of H, constrained by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Δ: 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Probability simplex: {p ∈ ℝⁿ : pᵢ ≥ 0, Σpᵢ =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Embedding Map Φ : H →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Φ = σ_out ∘ Attn_L ∘ σ_L ∘ Attn_{L-1} ∘ σ_{L-1} ∘ … ∘ Attn₁ ∘ σ₁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σ_k: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Softmax over attention weights at layer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σ_out: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Final vocabulary projection softmax: logits → 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M ⊂ H is the image of Φ; a smooth lower-dimensional submanifold of 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Prompt Algebra and the Riemannian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Fundamental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P ↦ Φ(P) ∈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prompt P maps to a point on M. Prompt engineering is applied geometry on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Riemannian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(M, g_{μν})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g_{μν}: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Metric tensor defining distances and angles locally on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T_x(M):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Tangent space at x ∈ M — the space of all directional nudges at state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 Basis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collection {P₁, …, Pₙ} such that {Φ(P₁), …, Φ(Pₙ)} spans a designated region of M. Orthogonality condition: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g_{μν}(Φ(Pᵢ))ᵐ (Φ(Pⱼ))ⁿ ≈ 0   for i ≠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Differential Geometry of State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Conversational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γ : {0,1,…,n} → M,   γ(t) = Φ(P(t))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Tangent Vector (Prompt Nudge)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u = dγ/dt ∈ T_{γ(t)}(M)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Shock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Orthogonal perturbation: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g_{μν} uᵐ v^n_⊥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S(x, λ, v_⊥) = exp_x(λ · v_⊥)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exp_x: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Exponential map at x ∈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λ: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Perturbation intensity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Curvature and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High curvature regions: instability, hallucination-prone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Flat regions: stable, consistent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Prompts as Tensor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T_p : T_x(M) → T_y(M)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Active manifold deformation: alters directional flow ∇, local curvature, and semantic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Semantic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E(p) ∝ ∫ κ(γ_p(t))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Divergence (Semantic Expansion/Compression)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∇ · T_p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The ζ₄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State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z ∈ ℂ²,   z = (z₁, z₂)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|z₂|: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Orthogonal information depth at the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Four Observable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α — Structural Separation (Firewall Integrity)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α = 1 − |tokens(S) ∩ tokens(U)| / |tokens(S) ∪ tokens(U)|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Falling α → erosion of instruction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β — Instruction Bleed (Leakage)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β = perplexity gradient of tokens prohibited by system prompt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Rising β → constraint walls breached.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γ — Trajectory Skew (Polarization)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γ = lexical density variance across response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Rising γ → drift toward unauthorized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δ — Reference Drift (Phase)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δ = rate of n-gram overlap decay with original reference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Rising δ → context collapse approaching.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Singularity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Logical contradictions in P create poles in ζ₄. Cubic Hermite interpolation bridges discrete turns to continuous complex curve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{z(0), z(1), …, z(n)} ⊂ ℂ²  →  continuous curve C,  s ∈ [0,n]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∮_C ζ₄(s) 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Non-zero winding number → trajectory mathematically trapped.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3-LLM Interferometer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Δζ₄ = ζ₄^(A)(s) − ζ₄^(B)(s)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Large Δζ₄ → architecturally distinct semantic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Kinematic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Discrete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t ∈ ℤ≥0,   responses R(0), R(1), …, R(n)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d(A, B) = cosine distance on embeddings  [Axiom A₀ proxy]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v(t) = d(R(t), R(t−1))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v_{pr}(t) = d(P(t), R(t))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Curvature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Let u(t) = R(t) − R(t−1). True geometric directional change 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θ(t) = arccos[ g_{μν} uᵐ(t) uⁿ(t−1) / (‖u(t)‖_g · ‖u(t−1)‖_g)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κ(t) = θ(t) / δt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Metric approximation: cosine distance ≈ g_{μν} uᵐ uⁿ under locally isotropic embedding 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Sustained κ(t) → 0⁻ monotonically: attractor capture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Torsional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τ = min{ n ∈ ℤ⁺ : Sⁿ(x) ∉ A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Shock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Attractor basin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Empirical grounding: τ = 7–8 shocks across independent trials.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The Unified State Vector and Coupling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System State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Ψ(t) = [α(t), β(t), γ(t), δ(t), v(t), κ(t), τ(t)]ᵀ  ∈  ℝ⁷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Velocity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v(t) ≤ v₀ · exp(−λ_δ δ(t)) / (1 + λ_τ τ(t))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Rising δ, deepening τ → velocity ceiling collapses → trajectory 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Curvature–Leakage Coupling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dβ/dt  ∝  κ(t) · (1 − α(t))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Leakage accelerates in high-curvature, low-separation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Reference Drift – Torsional Depth Coupling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τ(t) ≈ τ₀ + k_δ · ∫₀ᵗ δ(s) 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Accumulated semantic drift deepens attractor basins.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Attractor Approach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Detection condition — all three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v(t) ↘ 0,   κ(t) ↘ (monotonically negative),   τ(t)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80" w:lineRule="auto"/>
        <w:rPr/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4"/>
          <w:szCs w:val="24"/>
          <w:rtl w:val="0"/>
        </w:rPr>
        <w:t xml:space="preserve">→ Apply preemptive S before full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Measurement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Velocity / Curvature: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Administer P(0)…P(n). Compute d(R(t), R(t−1)) → v(t). Compute θ(t) between consecutive displacement vectors → κ(t).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Torsional Resistance: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Identify attractor approach signature. Apply orthogonal shock S. Count n until v(t) shows significant increase. Record τ = n. Replicate.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3-LLM Interferometer: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Administer identical P(0)…P(n) to three independent LLMs. Collect Ψ(t) per model. Compute ΔΨ. Large ΔΨ → structurally distinct manifold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Copyright © 2025, William W. Westlake Jr. All Rights Reserved.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1" w:sz="6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a7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