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Integrating Information Space Dynamics with LLM-Free Semantic Graph Retrieval: A Unified Architecture for Scalable 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Author:</w:t>
      </w:r>
      <w:r w:rsidDel="00000000" w:rsidR="00000000" w:rsidRPr="00000000">
        <w:rPr>
          <w:rFonts w:ascii="Arial" w:cs="Arial" w:eastAsia="Arial" w:hAnsi="Arial"/>
          <w:color w:val="000000"/>
          <w:sz w:val="20"/>
          <w:szCs w:val="20"/>
          <w:rtl w:val="0"/>
        </w:rPr>
        <w:t xml:space="preserve"> William W. Westlake Jr.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sz w:val="30"/>
          <w:szCs w:val="30"/>
        </w:rPr>
      </w:pPr>
      <w:r w:rsidDel="00000000" w:rsidR="00000000" w:rsidRPr="00000000">
        <w:rPr>
          <w:rFonts w:ascii="Arial" w:cs="Arial" w:eastAsia="Arial" w:hAnsi="Arial"/>
          <w:color w:val="202124"/>
          <w:sz w:val="30"/>
          <w:szCs w:val="30"/>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This paper proposes a theoretical and architectural synthesis of two distinct approaches to Large Language Model (LLM) behavior and information retrieval: the Information Space Dynamics (ISD) kinematic framework and the LiteSemRAG LLM-free semantic graph retrieval system. While LiteSemRAG achieves highly efficient, semantic-aware graph construction by replacing LLM-based extraction with token-level embeddings and spatial clustering, it lacks a dynamic mechanism to monitor the conversational trajectory over time. By incorporating the ISD kinematic observables—specifically reference drift, torsional resistance, and discrete geodesic turning curvature—this paper outlines a unified architecture that provides LiteSemRAG with a deterministic, real-time diagnostic layer. This synthesis allows the retrieval system to autonomously adjust its graph traversal and clustering behaviors based on the geometric state of the conversational trajectory.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sz w:val="30"/>
          <w:szCs w:val="30"/>
        </w:rPr>
      </w:pPr>
      <w:r w:rsidDel="00000000" w:rsidR="00000000" w:rsidRPr="00000000">
        <w:rPr>
          <w:rFonts w:ascii="Arial" w:cs="Arial" w:eastAsia="Arial" w:hAnsi="Arial"/>
          <w:color w:val="202124"/>
          <w:sz w:val="30"/>
          <w:szCs w:val="30"/>
          <w:rtl w:val="0"/>
        </w:rPr>
        <w:t xml:space="preserve">1. Introduction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integration of Retrieval-Augmented Generation (RAG) into continuous conversational systems presents significant challenges regarding computational overhead and trajectory stability. The LiteSemRAG framework directly addresses the computational bottleneck by constructing a heterogeneous semantic graph directly from contextual token-level embeddings, circumventing the need for generative LLM reasoning during the indexing and querying phases. Concurrently, the Information Space Dynamics (ISD) framework provides a purely observable, geometric methodology for tracking an LLM's behavioral state across an ambient Hilbert Space. By treating the LiteSemRAG semantic graph as the operational terrain and the ISD metrics as the navigational instrumentation, we can create a robust, self-regulating AI architecture.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02124"/>
          <w:sz w:val="30"/>
          <w:szCs w:val="30"/>
        </w:rPr>
      </w:pPr>
      <w:r w:rsidDel="00000000" w:rsidR="00000000" w:rsidRPr="00000000">
        <w:rPr>
          <w:rFonts w:ascii="Arial" w:cs="Arial" w:eastAsia="Arial" w:hAnsi="Arial"/>
          <w:color w:val="202124"/>
          <w:sz w:val="30"/>
          <w:szCs w:val="30"/>
          <w:rtl w:val="0"/>
        </w:rPr>
        <w:t xml:space="preserve">2. Architectural Synthesis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02124"/>
          <w:sz w:val="24"/>
          <w:szCs w:val="24"/>
        </w:rPr>
      </w:pPr>
      <w:r w:rsidDel="00000000" w:rsidR="00000000" w:rsidRPr="00000000">
        <w:rPr>
          <w:rFonts w:ascii="Arial" w:cs="Arial" w:eastAsia="Arial" w:hAnsi="Arial"/>
          <w:color w:val="202124"/>
          <w:sz w:val="24"/>
          <w:szCs w:val="24"/>
          <w:rtl w:val="0"/>
        </w:rPr>
        <w:t xml:space="preserve">2.1 Activating Adaptive Anomaly Handling via Reference Drift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LiteSemRAG utilizes an Adaptive Anomaly Handling mechanism to manage evolving semantic distributions during incremental indexing, relying on a percentile-based threshold to determine when to recluster temporary anomaly embeddings. The ISD framework introduces a metric measuring reference drift and cohesion decay across successive responses. By coupling these mechanisms, this drift metric can serve as a direct mathematical trigger for reclustering. As the trajectory loses its semantic anchor, the system mathematically registers the phase shift, preemptively initiating LiteSemRAG's density-based clustering to establish new semantic nodes before contextual degradation occurs.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sz w:val="24"/>
          <w:szCs w:val="24"/>
        </w:rPr>
      </w:pPr>
      <w:r w:rsidDel="00000000" w:rsidR="00000000" w:rsidRPr="00000000">
        <w:rPr>
          <w:rFonts w:ascii="Arial" w:cs="Arial" w:eastAsia="Arial" w:hAnsi="Arial"/>
          <w:color w:val="202124"/>
          <w:sz w:val="24"/>
          <w:szCs w:val="24"/>
          <w:rtl w:val="0"/>
        </w:rPr>
        <w:t xml:space="preserve">2.2 Overcoming Attractor Capture via Torsional Resistance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 known vulnerability in high-dimensional information spaces is the fixed-point attractor, where a trajectory becomes locked into a stable behavioral region. In LiteSemRAG, this is analogous to becoming trapped within heavily weighted nodes of the query-specific co-occurrence graph. The ISD metric for torsional resistance defines the escape threshold required to displace a trajectory from such an attractor state. When the ISD diagnostic detects an attractor approach signature—characterized by velocity decreasing monotonically toward zero and curvature becoming increasingly negative—the system can programmatically deploy an orthogonal shock operator. This forces the retrieval mechanism to bypass the dominant co-occurrence graph and prioritize LiteSemRAG’s Isolated Semantic Recovery phase, ensuring the retrieval of semantically relevant but structurally unsupported evidence to break the conversational lock.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sz w:val="24"/>
          <w:szCs w:val="24"/>
        </w:rPr>
      </w:pPr>
      <w:r w:rsidDel="00000000" w:rsidR="00000000" w:rsidRPr="00000000">
        <w:rPr>
          <w:rFonts w:ascii="Arial" w:cs="Arial" w:eastAsia="Arial" w:hAnsi="Arial"/>
          <w:color w:val="202124"/>
          <w:sz w:val="24"/>
          <w:szCs w:val="24"/>
          <w:rtl w:val="0"/>
        </w:rPr>
        <w:t xml:space="preserve">2.3 Modulating Edge Weights via Geodesic Curvature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LiteSemRAG calculates co-occurrence edge weights based on the frequency that semantic nodes share text chunks. However, user interactions are not static. The ISD framework models the rate of directional change between successive displacement vectors using discrete geodesic turning curvature. By feeding real-time curvature values into the LiteSemRAG querying phase, the architecture can dynamically modulate graph traversal. High-curvature events, which indicate sharp thematic pivots, can trigger an automatic reduction in historical co-occurrence edge weights, expanding the similarity matching radius to accommodate the user's intentional shift into a new region of the information manifold.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sz w:val="30"/>
          <w:szCs w:val="30"/>
        </w:rPr>
      </w:pPr>
      <w:r w:rsidDel="00000000" w:rsidR="00000000" w:rsidRPr="00000000">
        <w:rPr>
          <w:rFonts w:ascii="Arial" w:cs="Arial" w:eastAsia="Arial" w:hAnsi="Arial"/>
          <w:color w:val="202124"/>
          <w:sz w:val="30"/>
          <w:szCs w:val="30"/>
          <w:rtl w:val="0"/>
        </w:rPr>
        <w:t xml:space="preserve">3. Conclusion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synthesis of Information Space Dynamics and LiteSemRAG produces a highly efficient, deterministic retrieval architecture equipped with real-time trajectory management. By applying kinematic metrics to structural graph operations (anomaly handling, isolated recovery, and edge weighting), developers can achieve robust semantic coverage and behavioral stability without relying on resource-intensive LLM reasoning.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sz w:val="30"/>
          <w:szCs w:val="30"/>
        </w:rPr>
      </w:pPr>
      <w:r w:rsidDel="00000000" w:rsidR="00000000" w:rsidRPr="00000000">
        <w:rPr>
          <w:rFonts w:ascii="Arial" w:cs="Arial" w:eastAsia="Arial" w:hAnsi="Arial"/>
          <w:color w:val="202124"/>
          <w:sz w:val="30"/>
          <w:szCs w:val="30"/>
          <w:rtl w:val="0"/>
        </w:rPr>
        <w:t xml:space="preserve">References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sz w:val="18"/>
          <w:szCs w:val="18"/>
          <w:rtl w:val="0"/>
        </w:rPr>
        <w:t xml:space="preserve">Yue, X., Qu, G., &amp; Gan, L. (2026). LiteSemRAG: Lightweight LLM-Free Semantic-Aware Graph Retrieval for Robust RAG. arXiv:2604.16350. Department of Computer Science and Engineering, Oakland University.</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sz w:val="18"/>
          <w:szCs w:val="18"/>
          <w:rtl w:val="0"/>
        </w:rPr>
        <w:t xml:space="preserve">Westlake, W. W. Jr. (2026). Information Space Dynamics in Large Language Models: A Unified Framework from Prompt Algebra to Kinematic Metrics (Version 5.0).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