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between w:color="auto" w:space="0" w:sz="0" w:val="none"/>
        </w:pBdr>
        <w:jc w:val="center"/>
        <w:rPr>
          <w:color w:val="202124"/>
          <w:sz w:val="24"/>
          <w:szCs w:val="24"/>
          <w:highlight w:val="white"/>
        </w:rPr>
      </w:pPr>
      <w:r w:rsidDel="00000000" w:rsidR="00000000" w:rsidRPr="00000000">
        <w:rPr>
          <w:b w:val="1"/>
          <w:color w:val="202124"/>
          <w:sz w:val="46"/>
          <w:szCs w:val="46"/>
          <w:rtl w:val="0"/>
        </w:rPr>
        <w:t xml:space="preserve">California Housing Data Set Description</w:t>
      </w:r>
      <w:r w:rsidDel="00000000" w:rsidR="00000000" w:rsidRPr="00000000">
        <w:rPr>
          <w:color w:val="202124"/>
          <w:sz w:val="24"/>
          <w:szCs w:val="24"/>
          <w:highlight w:val="white"/>
          <w:rtl w:val="0"/>
        </w:rPr>
        <w:t xml:space="preserve">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rPr>
          <w:color w:val="202124"/>
          <w:sz w:val="24"/>
          <w:szCs w:val="24"/>
        </w:rPr>
      </w:pPr>
      <w:r w:rsidDel="00000000" w:rsidR="00000000" w:rsidRPr="00000000">
        <w:rPr>
          <w:color w:val="202124"/>
          <w:sz w:val="24"/>
          <w:szCs w:val="24"/>
          <w:rtl w:val="0"/>
        </w:rPr>
        <w:t xml:space="preserve">Many of the Machine Learning Crash Course Programming Exercises use the California housing data set, which contains data drawn from the 1990 U.S. Census. The following table provides descriptions, data ranges, and data types for each feature in the data set.</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670"/>
        <w:gridCol w:w="2700"/>
        <w:gridCol w:w="1305"/>
        <w:tblGridChange w:id="0">
          <w:tblGrid>
            <w:gridCol w:w="2235"/>
            <w:gridCol w:w="2670"/>
            <w:gridCol w:w="2700"/>
            <w:gridCol w:w="1305"/>
          </w:tblGrid>
        </w:tblGridChange>
      </w:tblGrid>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3">
            <w:pPr>
              <w:pBdr>
                <w:top w:color="auto" w:space="12" w:sz="0" w:val="none"/>
                <w:bottom w:color="auto" w:space="0" w:sz="0" w:val="none"/>
              </w:pBdr>
              <w:rPr>
                <w:b w:val="1"/>
                <w:color w:val="202124"/>
                <w:sz w:val="21"/>
                <w:szCs w:val="21"/>
              </w:rPr>
            </w:pPr>
            <w:r w:rsidDel="00000000" w:rsidR="00000000" w:rsidRPr="00000000">
              <w:rPr>
                <w:b w:val="1"/>
                <w:color w:val="202124"/>
                <w:sz w:val="21"/>
                <w:szCs w:val="21"/>
                <w:rtl w:val="0"/>
              </w:rPr>
              <w:t xml:space="preserve">Column 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4">
            <w:pPr>
              <w:pBdr>
                <w:top w:color="auto" w:space="12" w:sz="0" w:val="none"/>
                <w:bottom w:color="auto" w:space="0" w:sz="0" w:val="none"/>
              </w:pBdr>
              <w:ind w:right="580"/>
              <w:jc w:val="center"/>
              <w:rPr>
                <w:b w:val="1"/>
                <w:color w:val="202124"/>
                <w:sz w:val="21"/>
                <w:szCs w:val="21"/>
              </w:rPr>
            </w:pPr>
            <w:r w:rsidDel="00000000" w:rsidR="00000000" w:rsidRPr="00000000">
              <w:rPr>
                <w:b w:val="1"/>
                <w:color w:val="202124"/>
                <w:sz w:val="21"/>
                <w:szCs w:val="2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pBdr>
                <w:top w:color="auto" w:space="12" w:sz="0" w:val="none"/>
                <w:bottom w:color="auto" w:space="0" w:sz="0" w:val="none"/>
              </w:pBdr>
              <w:rPr>
                <w:b w:val="1"/>
                <w:color w:val="202124"/>
                <w:sz w:val="21"/>
                <w:szCs w:val="21"/>
              </w:rPr>
            </w:pPr>
            <w:r w:rsidDel="00000000" w:rsidR="00000000" w:rsidRPr="00000000">
              <w:rPr>
                <w:b w:val="1"/>
                <w:color w:val="202124"/>
                <w:sz w:val="21"/>
                <w:szCs w:val="21"/>
                <w:rtl w:val="0"/>
              </w:rPr>
              <w:t xml:space="preserv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6">
            <w:pPr>
              <w:pBdr>
                <w:top w:color="auto" w:space="12" w:sz="0" w:val="none"/>
                <w:bottom w:color="auto" w:space="0" w:sz="0" w:val="none"/>
              </w:pBdr>
              <w:rPr>
                <w:b w:val="1"/>
                <w:color w:val="202124"/>
                <w:sz w:val="21"/>
                <w:szCs w:val="21"/>
              </w:rPr>
            </w:pPr>
            <w:r w:rsidDel="00000000" w:rsidR="00000000" w:rsidRPr="00000000">
              <w:rPr>
                <w:b w:val="1"/>
                <w:color w:val="202124"/>
                <w:sz w:val="21"/>
                <w:szCs w:val="21"/>
                <w:rtl w:val="0"/>
              </w:rPr>
              <w:t xml:space="preserve">Datatype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longitude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A measure of how far west a house is; a more negative value is farther west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numPr>
                <w:ilvl w:val="0"/>
                <w:numId w:val="1"/>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Longitude values range from -180 to +180</w:t>
            </w:r>
          </w:p>
          <w:p w:rsidR="00000000" w:rsidDel="00000000" w:rsidP="00000000" w:rsidRDefault="00000000" w:rsidRPr="00000000" w14:paraId="0000000A">
            <w:pPr>
              <w:numPr>
                <w:ilvl w:val="0"/>
                <w:numId w:val="1"/>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-124.3</w:t>
            </w:r>
          </w:p>
          <w:p w:rsidR="00000000" w:rsidDel="00000000" w:rsidP="00000000" w:rsidRDefault="00000000" w:rsidRPr="00000000" w14:paraId="0000000B">
            <w:pPr>
              <w:numPr>
                <w:ilvl w:val="0"/>
                <w:numId w:val="1"/>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-114.3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latitude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A measure of how far north a house is; a higher value is farther north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numPr>
                <w:ilvl w:val="0"/>
                <w:numId w:val="8"/>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Latitude values range from -90 to +90</w:t>
            </w:r>
          </w:p>
          <w:p w:rsidR="00000000" w:rsidDel="00000000" w:rsidP="00000000" w:rsidRDefault="00000000" w:rsidRPr="00000000" w14:paraId="00000010">
            <w:pPr>
              <w:numPr>
                <w:ilvl w:val="0"/>
                <w:numId w:val="8"/>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32.5</w:t>
            </w:r>
          </w:p>
          <w:p w:rsidR="00000000" w:rsidDel="00000000" w:rsidP="00000000" w:rsidRDefault="00000000" w:rsidRPr="00000000" w14:paraId="00000011">
            <w:pPr>
              <w:numPr>
                <w:ilvl w:val="0"/>
                <w:numId w:val="8"/>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housingMedianAge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Median age of a house within a block; a lower number is a newer building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numPr>
                <w:ilvl w:val="0"/>
                <w:numId w:val="7"/>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1.0</w:t>
            </w:r>
          </w:p>
          <w:p w:rsidR="00000000" w:rsidDel="00000000" w:rsidP="00000000" w:rsidRDefault="00000000" w:rsidRPr="00000000" w14:paraId="00000016">
            <w:pPr>
              <w:numPr>
                <w:ilvl w:val="0"/>
                <w:numId w:val="7"/>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totalRooms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Total number of rooms within a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5"/>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2.0</w:t>
            </w:r>
          </w:p>
          <w:p w:rsidR="00000000" w:rsidDel="00000000" w:rsidP="00000000" w:rsidRDefault="00000000" w:rsidRPr="00000000" w14:paraId="0000001B">
            <w:pPr>
              <w:numPr>
                <w:ilvl w:val="0"/>
                <w:numId w:val="5"/>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37937.0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totalBedrooms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Total number of bedrooms within a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1.0</w:t>
            </w:r>
          </w:p>
          <w:p w:rsidR="00000000" w:rsidDel="00000000" w:rsidP="00000000" w:rsidRDefault="00000000" w:rsidRPr="00000000" w14:paraId="00000020">
            <w:pPr>
              <w:numPr>
                <w:ilvl w:val="0"/>
                <w:numId w:val="2"/>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6445.0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Total number of people residing within a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3"/>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3.0</w:t>
            </w:r>
          </w:p>
          <w:p w:rsidR="00000000" w:rsidDel="00000000" w:rsidP="00000000" w:rsidRDefault="00000000" w:rsidRPr="00000000" w14:paraId="00000025">
            <w:pPr>
              <w:numPr>
                <w:ilvl w:val="0"/>
                <w:numId w:val="3"/>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35682.0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households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Total number of households, a group of people residing within a home unit, for a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6"/>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1.0</w:t>
            </w:r>
          </w:p>
          <w:p w:rsidR="00000000" w:rsidDel="00000000" w:rsidP="00000000" w:rsidRDefault="00000000" w:rsidRPr="00000000" w14:paraId="0000002A">
            <w:pPr>
              <w:numPr>
                <w:ilvl w:val="0"/>
                <w:numId w:val="6"/>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6082.0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medianIncome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Median income for households within a block of houses (measured in tens of thousands of US Dollars)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numPr>
                <w:ilvl w:val="0"/>
                <w:numId w:val="4"/>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0.5</w:t>
            </w:r>
          </w:p>
          <w:p w:rsidR="00000000" w:rsidDel="00000000" w:rsidP="00000000" w:rsidRDefault="00000000" w:rsidRPr="00000000" w14:paraId="0000002F">
            <w:pPr>
              <w:numPr>
                <w:ilvl w:val="0"/>
                <w:numId w:val="4"/>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Bdr>
                <w:top w:color="auto" w:space="12" w:sz="0" w:val="none"/>
                <w:bottom w:color="auto" w:space="0" w:sz="0" w:val="none"/>
              </w:pBd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medianHouseValue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Median house value for households within a block (measured in US Dollars)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9"/>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min: 14999.0</w:t>
            </w:r>
          </w:p>
          <w:p w:rsidR="00000000" w:rsidDel="00000000" w:rsidP="00000000" w:rsidRDefault="00000000" w:rsidRPr="00000000" w14:paraId="00000034">
            <w:pPr>
              <w:numPr>
                <w:ilvl w:val="0"/>
                <w:numId w:val="9"/>
              </w:numPr>
              <w:pBdr>
                <w:top w:color="000000" w:space="0" w:sz="0" w:val="none"/>
                <w:bottom w:color="000000" w:space="0" w:sz="0" w:val="none"/>
                <w:right w:color="000000" w:space="0" w:sz="0" w:val="none"/>
                <w:between w:color="000000" w:space="0" w:sz="0" w:val="none"/>
              </w:pBdr>
              <w:ind w:left="1440" w:hanging="360"/>
              <w:rPr>
                <w:rFonts w:ascii="Arial" w:cs="Arial" w:eastAsia="Arial" w:hAnsi="Arial"/>
              </w:rPr>
            </w:pPr>
            <w:r w:rsidDel="00000000" w:rsidR="00000000" w:rsidRPr="00000000">
              <w:rPr>
                <w:color w:val="202124"/>
                <w:sz w:val="21"/>
                <w:szCs w:val="21"/>
                <w:rtl w:val="0"/>
              </w:rPr>
              <w:t xml:space="preserve">Data set max: 500001.0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Bdr>
                <w:top w:color="auto" w:space="12" w:sz="0" w:val="none"/>
                <w:bottom w:color="auto" w:space="0" w:sz="0" w:val="none"/>
              </w:pBdr>
              <w:rPr>
                <w:color w:val="202124"/>
                <w:sz w:val="21"/>
                <w:szCs w:val="21"/>
              </w:rPr>
            </w:pPr>
            <w:r w:rsidDel="00000000" w:rsidR="00000000" w:rsidRPr="00000000">
              <w:rPr>
                <w:color w:val="202124"/>
                <w:sz w:val="21"/>
                <w:szCs w:val="21"/>
                <w:rtl w:val="0"/>
              </w:rPr>
              <w:t xml:space="preserve">float64</w:t>
            </w:r>
          </w:p>
        </w:tc>
      </w:tr>
    </w:tbl>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color w:val="202124"/>
          <w:sz w:val="24"/>
          <w:szCs w:val="24"/>
        </w:rPr>
      </w:pPr>
      <w:r w:rsidDel="00000000" w:rsidR="00000000" w:rsidRPr="00000000">
        <w:rPr>
          <w:color w:val="202124"/>
          <w:sz w:val="24"/>
          <w:szCs w:val="24"/>
          <w:rtl w:val="0"/>
        </w:rPr>
        <w:t xml:space="preserve">* Min and max values in the table below were obtained from the Exercise notebooks using </w:t>
      </w:r>
      <w:hyperlink r:id="rId6">
        <w:r w:rsidDel="00000000" w:rsidR="00000000" w:rsidRPr="00000000">
          <w:rPr>
            <w:rFonts w:ascii="Roboto Mono" w:cs="Roboto Mono" w:eastAsia="Roboto Mono" w:hAnsi="Roboto Mono"/>
            <w:color w:val="1155cc"/>
            <w:sz w:val="24"/>
            <w:szCs w:val="24"/>
            <w:u w:val="single"/>
            <w:rtl w:val="0"/>
          </w:rPr>
          <w:t xml:space="preserve">pandas.DataFrame.describe()</w:t>
        </w:r>
      </w:hyperlink>
      <w:r w:rsidDel="00000000" w:rsidR="00000000" w:rsidRPr="00000000">
        <w:rPr>
          <w:color w:val="202124"/>
          <w:sz w:val="24"/>
          <w:szCs w:val="24"/>
          <w:rtl w:val="0"/>
        </w:rPr>
        <w:t xml:space="preserve"> on the California Housing data set</w:t>
      </w:r>
    </w:p>
    <w:p w:rsidR="00000000" w:rsidDel="00000000" w:rsidP="00000000" w:rsidRDefault="00000000" w:rsidRPr="00000000" w14:paraId="00000037">
      <w:pPr>
        <w:pStyle w:val="Heading2"/>
        <w:keepNext w:val="0"/>
        <w:keepLines w:val="0"/>
        <w:pBdr>
          <w:top w:color="auto" w:space="18" w:sz="0" w:val="none"/>
          <w:bottom w:color="auto" w:space="4" w:sz="0" w:val="none"/>
        </w:pBdr>
        <w:spacing w:after="80" w:lineRule="auto"/>
        <w:rPr>
          <w:b w:val="1"/>
          <w:color w:val="202124"/>
          <w:sz w:val="36"/>
          <w:szCs w:val="36"/>
        </w:rPr>
      </w:pPr>
      <w:bookmarkStart w:colFirst="0" w:colLast="0" w:name="_4k4ico57hck5" w:id="0"/>
      <w:bookmarkEnd w:id="0"/>
      <w:r w:rsidDel="00000000" w:rsidR="00000000" w:rsidRPr="00000000">
        <w:rPr>
          <w:b w:val="1"/>
          <w:color w:val="202124"/>
          <w:sz w:val="36"/>
          <w:szCs w:val="36"/>
          <w:rtl w:val="0"/>
        </w:rPr>
        <w:t xml:space="preserve">Reference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color w:val="202124"/>
          <w:sz w:val="24"/>
          <w:szCs w:val="24"/>
        </w:rPr>
      </w:pPr>
      <w:r w:rsidDel="00000000" w:rsidR="00000000" w:rsidRPr="00000000">
        <w:rPr>
          <w:color w:val="202124"/>
          <w:sz w:val="24"/>
          <w:szCs w:val="24"/>
          <w:rtl w:val="0"/>
        </w:rPr>
        <w:t xml:space="preserve">Pace, R. Kelley, and Ronald Barry, "Sparse Spatial Autoregressions," Statistics and Probability Letters, Volume 33, Number 3, May 5 1997, p. 291-297.</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rPr>
          <w:color w:val="202124"/>
          <w:sz w:val="24"/>
          <w:szCs w:val="24"/>
        </w:rPr>
      </w:pPr>
      <w:r w:rsidDel="00000000" w:rsidR="00000000" w:rsidRPr="00000000">
        <w:rPr>
          <w:color w:val="202124"/>
          <w:sz w:val="24"/>
          <w:szCs w:val="24"/>
          <w:rtl w:val="0"/>
        </w:rPr>
        <w:t xml:space="preserve">The following is the data methodology described in the paper:</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rPr>
          <w:color w:val="202124"/>
          <w:sz w:val="24"/>
          <w:szCs w:val="24"/>
        </w:rPr>
      </w:pPr>
      <w:r w:rsidDel="00000000" w:rsidR="00000000" w:rsidRPr="00000000">
        <w:rPr>
          <w:color w:val="202124"/>
          <w:sz w:val="24"/>
          <w:szCs w:val="24"/>
          <w:rtl w:val="0"/>
        </w:rPr>
        <w:t xml:space="preserve">We collected information on the variables using all the block groups in California from the 1990 Census. In this sample a block group on average includes 1425.5 individuals living in a geographically compact area. Naturally, the geographical area included varies inversely with the population density. We computed distances among the centroids of each block group as measured in latitude and longitude. We excluded all the block groups reporting zero entries for the independent and dependent variables. The final data contained 20,640 observations on 9 characteristics.</w:t>
      </w:r>
    </w:p>
    <w:p w:rsidR="00000000" w:rsidDel="00000000" w:rsidP="00000000" w:rsidRDefault="00000000" w:rsidRPr="00000000" w14:paraId="0000003B">
      <w:pPr>
        <w:rPr>
          <w:color w:val="202124"/>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archive.org/web/20240602065639/https://pandas.pydata.org/pandas-docs/stable/generated/pandas.DataFrame.describ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