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것이었으며, 이를 제외한 사후 분석에서는 위험 × 턴 깊이 상호작용이 유의하였다. 현지화 효과와 동등성은 모두 확인되지 않았고, 판정자 간 일치도는 사전 기준에 미달하였다. 사후 수리 실험에서 판정자 출력을 JSON 구조로 제약하자 동점 규칙으로 부여된 표시는 모두 사라졌다.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including localized and literal versions and benign twins matched to six-turn risk scripts on persona, turn count and user-utterance length.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flags at six turns came from a tie rule after one judge returned no valid output; in post hoc analyses excluding them, the risk-by-depth interaction was significant. Localization showed neither a difference nor equivalence, and inter-judge agreement fell below the prespecified threshold. In a post hoc repair, schema-constrained judge decoding removed all tie-derived flags.</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양자화 체크포인트는 표 2에 저장소 이름으로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names; precision = inference format).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Checkpoint</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LGAI-EXAONE/EXAONE-4.0-32B-AWQ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kakaocorp/kanana-1.5-8b-instruct-2505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RedHatAI/gemma-3-27b-it-quantized.w4a16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naver-hyperclovax/HyperCLOVAX-SEED-Think-14B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meta-llama/Llama-3.1-8B-Instruct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Intel/Mistral-Small-3.2-24B-Instruct-2506-int4-AutoRound</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cortecs/phi-4-FP8-Dynamic</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않았다. 적합은 statsmodels 0.15.0의 변분 베이즈 이항 혼합모형(BinomialBayesMixedGLM)으로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w:t>
            </w:r>
          </w:p>
        </w:tc>
      </w:tr>
      <w:tr>
        <w:tc>
          <w:tcPr>
            <w:tcW w:type="dxa" w:w="4252"/>
          </w:tcPr>
          <w:p>
            <w:pPr>
              <w:spacing w:line="288" w:lineRule="auto"/>
            </w:pPr>
            <w:r/>
            <w:r>
              <w:rPr>
                <w:rFonts w:ascii="Times New Roman" w:hAnsi="Times New Roman" w:cs="Times New Roman" w:eastAsia="바탕"/>
                <w:b w:val="0"/>
                <w:i w:val="0"/>
                <w:sz w:val="16"/>
              </w:rPr>
              <w:t>09-28</w:t>
            </w:r>
          </w:p>
        </w:tc>
        <w:tc>
          <w:tcPr>
            <w:tcW w:type="dxa" w:w="4252"/>
          </w:tcPr>
          <w:p>
            <w:pPr>
              <w:spacing w:line="288" w:lineRule="auto"/>
            </w:pPr>
            <w:r/>
            <w:r>
              <w:rPr>
                <w:rFonts w:ascii="Times New Roman" w:hAnsi="Times New Roman" w:cs="Times New Roman" w:eastAsia="바탕"/>
                <w:b w:val="0"/>
                <w:i w:val="0"/>
                <w:sz w:val="16"/>
              </w:rPr>
              <w:t>Post-hoc output-repair check on the 87 failed judge outputs (rule written before the run)</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되고, 위험 × 깊이 상호작용은 OR 2.84–3.69, Holm 보정 p = 0.018–0.049로 유의하였다. 무해 군의 1턴 사건이 0건이므로 이때의 무해 OR(2.02–2.44)은 모형의 규제에 크게 의존하여 해석하지 않는다. 판정자 출력 실패가 깊이와 내용에 따라 달라지므로 완전 사례 분석도 편향될 수 있으며, 이 결과들은 인간 기준 없이 어느 처리가 옳은지 확정하지 못한다. 다만 위험 특이적 증가에 대한 결론이 판정자 출력 실패의 처리 방식 하나에 따라 뒤바뀐다는 점은 분명하다.</w:t>
      </w:r>
    </w:p>
    <w:p>
      <w:pPr>
        <w:spacing w:line="360" w:lineRule="auto" w:before="0" w:after="0"/>
        <w:ind w:firstLine="184"/>
        <w:jc w:val="both"/>
      </w:pPr>
      <w:r>
        <w:rPr>
          <w:rFonts w:ascii="Times New Roman" w:hAnsi="Times New Roman" w:cs="Times New Roman" w:eastAsia="바탕"/>
          <w:b w:val="0"/>
          <w:i w:val="0"/>
          <w:sz w:val="18"/>
        </w:rPr>
        <w:t>사후 출력 수리 실험(표 7 하단 R1·R2, 확증 분석 아님): 주 실행에서 출력이 무효였던 87개 (판정자, 뷰) 쌍(J1 58, J3 29)만 같은 입력으로 다시 판정하고, 나머지 판정은 그대로 둔 채 같은 집계 규칙과 추정기를 적용하였다. 출력 예산만 늘린 R1(뷰마다 남은 문맥 길이 안에서 최대 2,048토큰)은 87건 중 63건이 여전히 무효였고, 첫 응답이 길어져 재질문이 문맥을 넘는 경우가 4건에서 12건으로 늘었다. 출력 예산에 더해 vLLM의 JSON 스키마 제약 디코딩을 적용한 R2에서는 무효 출력이 8건(J1이 2,048토큰 상한에서 잘린 경우)으로 줄었고, 무해 쌍둥이의 6턴 CF 표시는 20건에서 5건으로, 그중 동점 규칙으로 부여된 표시는 16건에서 0건으로 줄었다. 이때 위험 × 깊이 상호작용의 OR은 0.47에서 2.18(95% CI 0.69–12.30)로 방향이 바뀌었으나, 무해 군의 사건이 5건뿐이어서 유의하지 않았다(Holm 보정 p = 0.197). 즉 무해 쌍둥이의 깊이 효과는 판정 출력을 구조적으로 제약하는 일상적인 수리로 대부분 사라졌으며, 이는 해당 효과가 판정 절차에서 비롯되었다는 해석을 뒷받침한다. 수리 후 판정도 인간 기준으로 검증된 것은 아니다.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CI: scenario-cluster bootstrap, B = 2,000. Rows S1-S3 and R1-R2 are post hoc and not confirmatory. * few benign events (0 at depth 1 in S1-S3; 5 in total in R2).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Analysis</w:t>
            </w:r>
          </w:p>
        </w:tc>
        <w:tc>
          <w:tcPr>
            <w:tcW w:type="dxa" w:w="2126"/>
          </w:tcPr>
          <w:p>
            <w:pPr>
              <w:spacing w:line="288" w:lineRule="auto"/>
            </w:pPr>
            <w:r/>
            <w:r>
              <w:rPr>
                <w:rFonts w:ascii="Times New Roman" w:hAnsi="Times New Roman" w:cs="Times New Roman" w:eastAsia="바탕"/>
                <w:b/>
                <w:i w:val="0"/>
                <w:sz w:val="16"/>
              </w:rPr>
              <w:t>Risk OR (95% CI)</w:t>
            </w:r>
          </w:p>
        </w:tc>
        <w:tc>
          <w:tcPr>
            <w:tcW w:type="dxa" w:w="2126"/>
          </w:tcPr>
          <w:p>
            <w:pPr>
              <w:spacing w:line="288" w:lineRule="auto"/>
            </w:pPr>
            <w:r/>
            <w:r>
              <w:rPr>
                <w:rFonts w:ascii="Times New Roman" w:hAnsi="Times New Roman" w:cs="Times New Roman" w:eastAsia="바탕"/>
                <w:b/>
                <w:i w:val="0"/>
                <w:sz w:val="16"/>
              </w:rPr>
              <w:t>Benign OR (95% CI)</w:t>
            </w:r>
          </w:p>
        </w:tc>
        <w:tc>
          <w:tcPr>
            <w:tcW w:type="dxa" w:w="2126"/>
          </w:tcPr>
          <w:p>
            <w:pPr>
              <w:spacing w:line="288" w:lineRule="auto"/>
            </w:pPr>
            <w:r/>
            <w:r>
              <w:rPr>
                <w:rFonts w:ascii="Times New Roman" w:hAnsi="Times New Roman" w:cs="Times New Roman" w:eastAsia="바탕"/>
                <w:b/>
                <w:i w:val="0"/>
                <w:sz w:val="16"/>
              </w:rPr>
              <w:t>Interaction OR, Holm p</w:t>
            </w:r>
          </w:p>
        </w:tc>
      </w:tr>
      <w:tr>
        <w:tc>
          <w:tcPr>
            <w:tcW w:type="dxa" w:w="2126"/>
          </w:tcPr>
          <w:p>
            <w:pPr>
              <w:spacing w:line="288" w:lineRule="auto"/>
            </w:pPr>
            <w:r/>
            <w:r>
              <w:rPr>
                <w:rFonts w:ascii="Times New Roman" w:hAnsi="Times New Roman" w:cs="Times New Roman" w:eastAsia="바탕"/>
                <w:b w:val="0"/>
                <w:i w:val="0"/>
                <w:sz w:val="16"/>
              </w:rPr>
              <w:t>Fixed rules (N1.1 met; N1.2 not met)</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9.71 (4.85-19.98)</w:t>
            </w:r>
          </w:p>
        </w:tc>
        <w:tc>
          <w:tcPr>
            <w:tcW w:type="dxa" w:w="2126"/>
          </w:tcPr>
          <w:p>
            <w:pPr>
              <w:spacing w:line="288" w:lineRule="auto"/>
            </w:pPr>
            <w:r/>
            <w:r>
              <w:rPr>
                <w:rFonts w:ascii="Times New Roman" w:hAnsi="Times New Roman" w:cs="Times New Roman" w:eastAsia="바탕"/>
                <w:b w:val="0"/>
                <w:i w:val="0"/>
                <w:sz w:val="16"/>
              </w:rPr>
              <w:t>0.47, 0.204</w:t>
            </w:r>
          </w:p>
        </w:tc>
      </w:tr>
      <w:tr>
        <w:tc>
          <w:tcPr>
            <w:tcW w:type="dxa" w:w="2126"/>
          </w:tcPr>
          <w:p>
            <w:pPr>
              <w:spacing w:line="288" w:lineRule="auto"/>
            </w:pPr>
            <w:r/>
            <w:r>
              <w:rPr>
                <w:rFonts w:ascii="Times New Roman" w:hAnsi="Times New Roman" w:cs="Times New Roman" w:eastAsia="바탕"/>
                <w:b w:val="0"/>
                <w:i w:val="0"/>
                <w:sz w:val="16"/>
              </w:rPr>
              <w:t>GEE, marginal (sensitivity)</w:t>
            </w:r>
          </w:p>
        </w:tc>
        <w:tc>
          <w:tcPr>
            <w:tcW w:type="dxa" w:w="2126"/>
          </w:tcPr>
          <w:p>
            <w:pPr>
              <w:spacing w:line="288" w:lineRule="auto"/>
            </w:pPr>
            <w:r/>
            <w:r>
              <w:rPr>
                <w:rFonts w:ascii="Times New Roman" w:hAnsi="Times New Roman" w:cs="Times New Roman" w:eastAsia="바탕"/>
                <w:b w:val="0"/>
                <w:i w:val="0"/>
                <w:sz w:val="16"/>
              </w:rPr>
              <w:t>2.99 (1.42-6.31)</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Risk, 3 vs 1 turn (secondary)</w:t>
            </w:r>
          </w:p>
        </w:tc>
        <w:tc>
          <w:tcPr>
            <w:tcW w:type="dxa" w:w="2126"/>
          </w:tcPr>
          <w:p>
            <w:pPr>
              <w:spacing w:line="288" w:lineRule="auto"/>
            </w:pPr>
            <w:r/>
            <w:r>
              <w:rPr>
                <w:rFonts w:ascii="Times New Roman" w:hAnsi="Times New Roman" w:cs="Times New Roman" w:eastAsia="바탕"/>
                <w:b w:val="0"/>
                <w:i w:val="0"/>
                <w:sz w:val="16"/>
              </w:rPr>
              <w:t>0.88 (0.26-2.67)</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S1 complete panels only</w:t>
            </w:r>
          </w:p>
        </w:tc>
        <w:tc>
          <w:tcPr>
            <w:tcW w:type="dxa" w:w="2126"/>
          </w:tcPr>
          <w:p>
            <w:pPr>
              <w:spacing w:line="288" w:lineRule="auto"/>
            </w:pPr>
            <w:r/>
            <w:r>
              <w:rPr>
                <w:rFonts w:ascii="Times New Roman" w:hAnsi="Times New Roman" w:cs="Times New Roman" w:eastAsia="바탕"/>
                <w:b w:val="0"/>
                <w:i w:val="0"/>
                <w:sz w:val="16"/>
              </w:rPr>
              <w:t>5.37 (2.11-13.87)</w:t>
            </w:r>
          </w:p>
        </w:tc>
        <w:tc>
          <w:tcPr>
            <w:tcW w:type="dxa" w:w="2126"/>
          </w:tcPr>
          <w:p>
            <w:pPr>
              <w:spacing w:line="288" w:lineRule="auto"/>
            </w:pPr>
            <w:r/>
            <w:r>
              <w:rPr>
                <w:rFonts w:ascii="Times New Roman" w:hAnsi="Times New Roman" w:cs="Times New Roman" w:eastAsia="바탕"/>
                <w:b w:val="0"/>
                <w:i w:val="0"/>
                <w:sz w:val="16"/>
              </w:rPr>
              <w:t>2.02 (1.02-5.13) *</w:t>
            </w:r>
          </w:p>
        </w:tc>
        <w:tc>
          <w:tcPr>
            <w:tcW w:type="dxa" w:w="2126"/>
          </w:tcPr>
          <w:p>
            <w:pPr>
              <w:spacing w:line="288" w:lineRule="auto"/>
            </w:pPr>
            <w:r/>
            <w:r>
              <w:rPr>
                <w:rFonts w:ascii="Times New Roman" w:hAnsi="Times New Roman" w:cs="Times New Roman" w:eastAsia="바탕"/>
                <w:b w:val="0"/>
                <w:i w:val="0"/>
                <w:sz w:val="16"/>
              </w:rPr>
              <w:t>3.69, 0.018</w:t>
            </w:r>
          </w:p>
        </w:tc>
      </w:tr>
      <w:tr>
        <w:tc>
          <w:tcPr>
            <w:tcW w:type="dxa" w:w="2126"/>
          </w:tcPr>
          <w:p>
            <w:pPr>
              <w:spacing w:line="288" w:lineRule="auto"/>
            </w:pPr>
            <w:r/>
            <w:r>
              <w:rPr>
                <w:rFonts w:ascii="Times New Roman" w:hAnsi="Times New Roman" w:cs="Times New Roman" w:eastAsia="바탕"/>
                <w:b w:val="0"/>
                <w:i w:val="0"/>
                <w:sz w:val="16"/>
              </w:rPr>
              <w:t>S2 tie views excluded</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(1.21-6.58) *</w:t>
            </w:r>
          </w:p>
        </w:tc>
        <w:tc>
          <w:tcPr>
            <w:tcW w:type="dxa" w:w="2126"/>
          </w:tcPr>
          <w:p>
            <w:pPr>
              <w:spacing w:line="288" w:lineRule="auto"/>
            </w:pPr>
            <w:r/>
            <w:r>
              <w:rPr>
                <w:rFonts w:ascii="Times New Roman" w:hAnsi="Times New Roman" w:cs="Times New Roman" w:eastAsia="바탕"/>
                <w:b w:val="0"/>
                <w:i w:val="0"/>
                <w:sz w:val="16"/>
              </w:rPr>
              <w:t>2.93, 0.045</w:t>
            </w:r>
          </w:p>
        </w:tc>
      </w:tr>
      <w:tr>
        <w:tc>
          <w:tcPr>
            <w:tcW w:type="dxa" w:w="2126"/>
          </w:tcPr>
          <w:p>
            <w:pPr>
              <w:spacing w:line="288" w:lineRule="auto"/>
            </w:pPr>
            <w:r/>
            <w:r>
              <w:rPr>
                <w:rFonts w:ascii="Times New Roman" w:hAnsi="Times New Roman" w:cs="Times New Roman" w:eastAsia="바탕"/>
                <w:b w:val="0"/>
                <w:i w:val="0"/>
                <w:sz w:val="16"/>
              </w:rPr>
              <w:t>S3 ties as non-CF</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(1.22-6.61) *</w:t>
            </w:r>
          </w:p>
        </w:tc>
        <w:tc>
          <w:tcPr>
            <w:tcW w:type="dxa" w:w="2126"/>
          </w:tcPr>
          <w:p>
            <w:pPr>
              <w:spacing w:line="288" w:lineRule="auto"/>
            </w:pPr>
            <w:r/>
            <w:r>
              <w:rPr>
                <w:rFonts w:ascii="Times New Roman" w:hAnsi="Times New Roman" w:cs="Times New Roman" w:eastAsia="바탕"/>
                <w:b w:val="0"/>
                <w:i w:val="0"/>
                <w:sz w:val="16"/>
              </w:rPr>
              <w:t>2.84, 0.049</w:t>
            </w:r>
          </w:p>
        </w:tc>
      </w:tr>
      <w:tr>
        <w:tc>
          <w:tcPr>
            <w:tcW w:type="dxa" w:w="2126"/>
          </w:tcPr>
          <w:p>
            <w:pPr>
              <w:spacing w:line="288" w:lineRule="auto"/>
            </w:pPr>
            <w:r/>
            <w:r>
              <w:rPr>
                <w:rFonts w:ascii="Times New Roman" w:hAnsi="Times New Roman" w:cs="Times New Roman" w:eastAsia="바탕"/>
                <w:b w:val="0"/>
                <w:i w:val="0"/>
                <w:sz w:val="16"/>
              </w:rPr>
              <w:t>R1 output budget repair</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9.29 (4.42-19.81)</w:t>
            </w:r>
          </w:p>
        </w:tc>
        <w:tc>
          <w:tcPr>
            <w:tcW w:type="dxa" w:w="2126"/>
          </w:tcPr>
          <w:p>
            <w:pPr>
              <w:spacing w:line="288" w:lineRule="auto"/>
            </w:pPr>
            <w:r/>
            <w:r>
              <w:rPr>
                <w:rFonts w:ascii="Times New Roman" w:hAnsi="Times New Roman" w:cs="Times New Roman" w:eastAsia="바탕"/>
                <w:b w:val="0"/>
                <w:i w:val="0"/>
                <w:sz w:val="16"/>
              </w:rPr>
              <w:t>0.50, 0.266</w:t>
            </w:r>
          </w:p>
        </w:tc>
      </w:tr>
      <w:tr>
        <w:tc>
          <w:tcPr>
            <w:tcW w:type="dxa" w:w="2126"/>
          </w:tcPr>
          <w:p>
            <w:pPr>
              <w:spacing w:line="288" w:lineRule="auto"/>
            </w:pPr>
            <w:r/>
            <w:r>
              <w:rPr>
                <w:rFonts w:ascii="Times New Roman" w:hAnsi="Times New Roman" w:cs="Times New Roman" w:eastAsia="바탕"/>
                <w:b w:val="0"/>
                <w:i w:val="0"/>
                <w:sz w:val="16"/>
              </w:rPr>
              <w:t>R2 budget + JSON-schema decoding</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3.09 (0.67-7.92) *</w:t>
            </w:r>
          </w:p>
        </w:tc>
        <w:tc>
          <w:tcPr>
            <w:tcW w:type="dxa" w:w="2126"/>
          </w:tcPr>
          <w:p>
            <w:pPr>
              <w:spacing w:line="288" w:lineRule="auto"/>
            </w:pPr>
            <w:r/>
            <w:r>
              <w:rPr>
                <w:rFonts w:ascii="Times New Roman" w:hAnsi="Times New Roman" w:cs="Times New Roman" w:eastAsia="바탕"/>
                <w:b w:val="0"/>
                <w:i w:val="0"/>
                <w:sz w:val="16"/>
              </w:rPr>
              <w:t>2.18, 0.197</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모델 간 독립을 가정). 판정자가 과잉거부를 놓쳤을 가능성은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판정 출력을 JSON 구조로 제약하는 사후 수리에서는 동점 규칙으로 부여된 표시가 사라졌다.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향후 과제는 판정자 출력 실패를 줄이는 판정 설계와 동점 규칙의 검증, 그리고 더 긴 대화 창과 상용 모델로의 확장이다.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
  <cp:keywords/>
  <dc:description/>
  <cp:lastModifiedBy/>
  <cp:revision>1</cp:revision>
  <dcterms:created xsi:type="dcterms:W3CDTF">2013-12-23T23:15:00Z</dcterms:created>
  <dcterms:modified xsi:type="dcterms:W3CDTF">2013-12-23T23:15:00Z</dcterms:modified>
  <cp:category/>
</cp:coreProperties>
</file>