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before="0" w:after="120"/>
      </w:pPr>
      <w:r>
        <w:rPr>
          <w:rFonts w:ascii="Arial" w:hAnsi="Arial" w:cs="Arial" w:eastAsia="맑은 고딕"/>
          <w:b/>
          <w:i w:val="0"/>
          <w:sz w:val="34"/>
        </w:rPr>
        <w:t>한국 청소년 모사 다중 턴 대화의 관계적 안전성 평가와 개방형 LLM 판정 절차의 한계</w:t>
      </w:r>
    </w:p>
    <w:p>
      <w:pPr>
        <w:spacing w:line="288" w:lineRule="auto" w:before="0" w:after="120"/>
      </w:pPr>
      <w:r>
        <w:rPr>
          <w:rFonts w:ascii="Times New Roman" w:hAnsi="Times New Roman" w:cs="Times New Roman" w:eastAsia="바탕"/>
          <w:b w:val="0"/>
          <w:i w:val="0"/>
          <w:sz w:val="24"/>
        </w:rPr>
        <w:t>정원철</w:t>
      </w:r>
      <w:r>
        <w:rPr>
          <w:rFonts w:ascii="Times New Roman" w:hAnsi="Times New Roman" w:cs="Times New Roman" w:eastAsia="바탕"/>
          <w:b w:val="0"/>
          <w:i w:val="0"/>
          <w:sz w:val="16"/>
          <w:vertAlign w:val="superscript"/>
        </w:rPr>
        <w:t>1</w:t>
      </w:r>
      <w:r>
        <w:rPr>
          <w:rFonts w:ascii="Times New Roman" w:hAnsi="Times New Roman" w:cs="Times New Roman" w:eastAsia="바탕"/>
          <w:b w:val="0"/>
          <w:i w:val="0"/>
          <w:sz w:val="24"/>
        </w:rPr>
        <w:t xml:space="preserve"> · 오하영</w:t>
      </w:r>
      <w:r>
        <w:rPr>
          <w:rFonts w:ascii="Times New Roman" w:hAnsi="Times New Roman" w:cs="Times New Roman" w:eastAsia="바탕"/>
          <w:b w:val="0"/>
          <w:i w:val="0"/>
          <w:sz w:val="16"/>
          <w:vertAlign w:val="superscript"/>
        </w:rPr>
        <w:t>2*</w:t>
      </w:r>
    </w:p>
    <w:p>
      <w:pPr>
        <w:spacing w:line="288" w:lineRule="auto" w:before="0" w:after="120"/>
      </w:pPr>
      <w:r>
        <w:rPr>
          <w:rFonts w:ascii="Arial" w:hAnsi="Arial" w:cs="Arial" w:eastAsia="맑은 고딕"/>
          <w:b/>
          <w:i w:val="0"/>
          <w:sz w:val="25"/>
        </w:rPr>
        <w:t>Evaluating Relational Safety in Simulated Korean Adolescent Dialogues and the Limitations of Open-Weight LLM Judging</w:t>
      </w:r>
    </w:p>
    <w:p>
      <w:pPr>
        <w:spacing w:line="288" w:lineRule="auto" w:before="0" w:after="80"/>
      </w:pPr>
      <w:r>
        <w:rPr>
          <w:rFonts w:ascii="Times New Roman" w:hAnsi="Times New Roman" w:cs="Times New Roman" w:eastAsia="바탕"/>
          <w:b w:val="0"/>
          <w:i w:val="0"/>
          <w:sz w:val="21"/>
        </w:rPr>
        <w:t>Woncheol Jeong</w:t>
      </w:r>
      <w:r>
        <w:rPr>
          <w:rFonts w:ascii="Times New Roman" w:hAnsi="Times New Roman" w:cs="Times New Roman" w:eastAsia="바탕"/>
          <w:b w:val="0"/>
          <w:i w:val="0"/>
          <w:sz w:val="14"/>
          <w:vertAlign w:val="superscript"/>
        </w:rPr>
        <w:t>1</w:t>
      </w:r>
      <w:r>
        <w:rPr>
          <w:rFonts w:ascii="Times New Roman" w:hAnsi="Times New Roman" w:cs="Times New Roman" w:eastAsia="바탕"/>
          <w:b w:val="0"/>
          <w:i w:val="0"/>
          <w:sz w:val="21"/>
        </w:rPr>
        <w:t xml:space="preserve"> · Hayoung Oh</w:t>
      </w:r>
      <w:r>
        <w:rPr>
          <w:rFonts w:ascii="Times New Roman" w:hAnsi="Times New Roman" w:cs="Times New Roman" w:eastAsia="바탕"/>
          <w:b w:val="0"/>
          <w:i w:val="0"/>
          <w:sz w:val="14"/>
          <w:vertAlign w:val="superscript"/>
        </w:rPr>
        <w:t>2*</w:t>
      </w:r>
    </w:p>
    <w:p>
      <w:pPr>
        <w:spacing w:line="288" w:lineRule="auto" w:before="0" w:after="0"/>
      </w:pPr>
      <w:r>
        <w:rPr>
          <w:rFonts w:ascii="Times New Roman" w:hAnsi="Times New Roman" w:cs="Times New Roman" w:eastAsia="바탕"/>
          <w:b w:val="0"/>
          <w:i w:val="0"/>
          <w:sz w:val="14"/>
          <w:vertAlign w:val="superscript"/>
        </w:rPr>
        <w:t>1</w:t>
      </w:r>
      <w:r>
        <w:rPr>
          <w:rFonts w:ascii="Times New Roman" w:hAnsi="Times New Roman" w:cs="Times New Roman" w:eastAsia="바탕"/>
          <w:b w:val="0"/>
          <w:i w:val="0"/>
          <w:sz w:val="18"/>
        </w:rPr>
        <w:t>Research Professor, Intelligent Digital Therapeutics Research Center, Sungkyunkwan University, Seoul, 03063 Korea</w:t>
      </w:r>
    </w:p>
    <w:p>
      <w:pPr>
        <w:spacing w:line="288" w:lineRule="auto" w:before="0" w:after="0"/>
      </w:pPr>
      <w:r>
        <w:rPr>
          <w:rFonts w:ascii="Times New Roman" w:hAnsi="Times New Roman" w:cs="Times New Roman" w:eastAsia="바탕"/>
          <w:b w:val="0"/>
          <w:i w:val="0"/>
          <w:sz w:val="14"/>
          <w:vertAlign w:val="superscript"/>
        </w:rPr>
        <w:t>2</w:t>
      </w:r>
      <w:r>
        <w:rPr>
          <w:rFonts w:ascii="Times New Roman" w:hAnsi="Times New Roman" w:cs="Times New Roman" w:eastAsia="바탕"/>
          <w:b w:val="0"/>
          <w:i w:val="0"/>
          <w:sz w:val="18"/>
        </w:rPr>
        <w:t>Associate Professor, Department of Applied AI, Sungkyunkwan University, Seoul, 03063 Korea</w:t>
      </w:r>
    </w:p>
    <w:p>
      <w:pPr>
        <w:spacing w:line="288" w:lineRule="auto" w:before="0" w:after="0"/>
      </w:pPr>
      <w:r>
        <w:rPr>
          <w:rFonts w:ascii="Times New Roman" w:hAnsi="Times New Roman" w:cs="Times New Roman" w:eastAsia="바탕"/>
          <w:b w:val="0"/>
          <w:i w:val="0"/>
          <w:sz w:val="18"/>
        </w:rPr>
        <w:t>*Corresponding author</w:t>
      </w:r>
    </w:p>
    <w:p>
      <w:pPr>
        <w:spacing w:line="384" w:lineRule="auto" w:before="200" w:after="0"/>
      </w:pPr>
      <w:r>
        <w:rPr>
          <w:rFonts w:ascii="Arial" w:hAnsi="Arial" w:cs="Arial" w:eastAsia="맑은 고딕"/>
          <w:b/>
          <w:i w:val="0"/>
          <w:sz w:val="20"/>
        </w:rPr>
        <w:t>요  약</w:t>
      </w:r>
    </w:p>
    <w:p>
      <w:pPr>
        <w:spacing w:line="312" w:lineRule="auto" w:before="0" w:after="0"/>
        <w:ind w:firstLine="200"/>
        <w:jc w:val="both"/>
      </w:pPr>
      <w:r>
        <w:rPr>
          <w:rFonts w:ascii="Times New Roman" w:hAnsi="Times New Roman" w:cs="Times New Roman" w:eastAsia="바탕"/>
          <w:b w:val="0"/>
          <w:i w:val="0"/>
          <w:sz w:val="18"/>
        </w:rPr>
        <w:t>청소년 대상 생성형 AI의 안전성 평가는 주로 단일 발화의 거부 여부를 채점하지만, 비밀 유도, 관계 독점, 정서적 압박과 같은 관계적 위험은 여러 턴에 걸쳐 형성될 수 있다. 본 연구는 12–17세 청소년을 모사한 한국어 문항 156개로 개방형 가중치 언어모델 5종을 평가하였다. 문항에는 현지화·직역 버전과, 6턴 위험 대본과 페르소나·턴 수·사용자 발화 길이를 맞춘 무해 쌍둥이 대본이 포함된다. 각 대화의 접두는 평가 대상과 계열이 다른 개방형 판정자 3종이 채점하였다. 위험 대본에서 치명적 실패(CF) 표시는 1턴보다 6턴에서 많았으나(오즈비 5.51, 95% CI 2.15–13.76), 무해 쌍둥이에서도 증가하여(9.71, 4.85–19.98) 결과 열람 전에 고정한 규칙으로는 위험 특이적 증가를 확인하지 못하였다. 무해 쌍둥이의 6턴 CF 표시 20건 중 16건은 한 판정자가 유효한 출력을 내지 못해 남은 두 판정자가 엇갈렸을 때 보수 규칙으로 부여된 것이었다. 사후 분석에서 이 표시를 제외하거나 실패한 판정을 JSON 스키마 제약 디코딩으로 다시 수행하면 6턴의 증가는 위험 대본에서 더 컸으나(위험 차이 척도에서 두 군의 증가 차이 12.5–13.3%p), 무해 군의 사건이 4–5건에 불과하였고 수리 후 상호작용 오즈비는 유의하지 않았다(2.18, 95% CI 0.69–12.30). 현지화 효과와 동등성은 모두 확인되지 않았고, 판정자 간 일치도는 사전 기준에 미달하였다. 다중 턴 안전성 수치는 판정자 출력의 유효성과 집계 규칙에 따라 달라질 수 있으므로 함께 보고해야 한다.</w:t>
      </w:r>
    </w:p>
    <w:p>
      <w:pPr>
        <w:spacing w:line="384" w:lineRule="auto" w:before="160" w:after="0"/>
      </w:pPr>
      <w:r>
        <w:rPr>
          <w:rFonts w:ascii="Arial" w:hAnsi="Arial" w:cs="Arial" w:eastAsia="맑은 고딕"/>
          <w:b/>
          <w:i w:val="0"/>
          <w:sz w:val="20"/>
        </w:rPr>
        <w:t>ABSTRACT</w:t>
      </w:r>
    </w:p>
    <w:p>
      <w:pPr>
        <w:spacing w:line="312" w:lineRule="auto" w:before="0" w:after="0"/>
        <w:ind w:firstLine="200"/>
        <w:jc w:val="both"/>
      </w:pPr>
      <w:r>
        <w:rPr>
          <w:rFonts w:ascii="Times New Roman" w:hAnsi="Times New Roman" w:cs="Times New Roman" w:eastAsia="바탕"/>
          <w:b w:val="0"/>
          <w:i w:val="0"/>
          <w:sz w:val="17"/>
        </w:rPr>
        <w:t>Adolescent AI safety evaluations often score single refusals, although relational risks such as secrecy, exclusivity and emotional pressure may develop over turns. We evaluated five open-weight models on 156 Korean items simulating adolescents aged 12–17, with localized and literal versions and benign twins matched to six-turn risk scripts. Three open-weight judges from other model families scored every conversation prefix. Critical-failure flags rose from one to six turns in risk scripts (odds ratio 5.51, 95% CI 2.15–13.76) but also in benign twins (9.71), so the fixed rules did not establish a risk-specific increase. Sixteen of the 20 benign six-turn flags came from a tie rule after one judge returned no valid output. Post hoc, removing these flags or re-judging failed outputs with schema-constrained decoding made the increase larger in risk scripts, but only 4–5 benign events remained and the repaired interaction was not significant. Localization showed neither a difference nor equivalence; inter-judge agreement fell below the prespecified threshold.</w:t>
      </w:r>
    </w:p>
    <w:p>
      <w:pPr>
        <w:spacing w:line="374" w:lineRule="auto" w:before="160" w:after="0"/>
      </w:pPr>
      <w:r>
        <w:rPr>
          <w:rFonts w:ascii="Arial" w:hAnsi="Arial" w:cs="Arial" w:eastAsia="맑은 고딕"/>
          <w:b/>
          <w:i w:val="0"/>
          <w:sz w:val="20"/>
        </w:rPr>
        <w:t xml:space="preserve">키워드 : </w:t>
      </w:r>
      <w:r>
        <w:rPr>
          <w:rFonts w:ascii="Times New Roman" w:hAnsi="Times New Roman" w:cs="Times New Roman" w:eastAsia="바탕"/>
          <w:b w:val="0"/>
          <w:i w:val="0"/>
          <w:sz w:val="17"/>
        </w:rPr>
        <w:t>청소년 AI 안전, 다중 턴 평가, 관계적 위험, 문화적 현지화, LLM 판정자</w:t>
      </w:r>
    </w:p>
    <w:p>
      <w:pPr>
        <w:spacing w:line="374" w:lineRule="auto" w:before="0" w:after="0"/>
      </w:pPr>
      <w:r>
        <w:rPr>
          <w:rFonts w:ascii="Arial" w:hAnsi="Arial" w:cs="Arial" w:eastAsia="맑은 고딕"/>
          <w:b/>
          <w:i w:val="0"/>
          <w:sz w:val="20"/>
        </w:rPr>
        <w:t xml:space="preserve">Keywords : </w:t>
      </w:r>
      <w:r>
        <w:rPr>
          <w:rFonts w:ascii="Times New Roman" w:hAnsi="Times New Roman" w:cs="Times New Roman" w:eastAsia="바탕"/>
          <w:b w:val="0"/>
          <w:i w:val="0"/>
          <w:sz w:val="17"/>
        </w:rPr>
        <w:t>Adolescent AI safety, LLM-as-a-judge, Localization, Multi-turn evaluation, Relational risk</w:t>
      </w:r>
    </w:p>
    <w:p>
      <w:pPr>
        <w:spacing w:line="288" w:lineRule="auto" w:before="280" w:after="0"/>
      </w:pPr>
      <w:r>
        <w:rPr>
          <w:rFonts w:ascii="Times New Roman" w:hAnsi="Times New Roman" w:cs="Times New Roman" w:eastAsia="바탕"/>
          <w:b w:val="0"/>
          <w:i w:val="0"/>
          <w:sz w:val="16"/>
        </w:rPr>
        <w:t>* Corresponding Author Hayoung Oh (E-mail: hyoh79@skku.edu, Tel: +82-10-5389-5996)</w:t>
      </w:r>
    </w:p>
    <w:p>
      <w:pPr>
        <w:spacing w:line="288" w:lineRule="auto" w:before="0" w:after="0"/>
      </w:pPr>
      <w:r>
        <w:rPr>
          <w:rFonts w:ascii="Times New Roman" w:hAnsi="Times New Roman" w:cs="Times New Roman" w:eastAsia="바탕"/>
          <w:b w:val="0"/>
          <w:i w:val="0"/>
          <w:sz w:val="16"/>
        </w:rPr>
        <w:t>Associate Professor, Department of Applied AI, Sungkyunkwan University, Seoul, 03063 Korea</w:t>
      </w:r>
    </w:p>
    <w:p>
      <w:pPr>
        <w:sectPr>
          <w:pgSz w:w="11906" w:h="16838"/>
          <w:pgMar w:top="2183" w:right="1701" w:bottom="2183" w:left="1701" w:header="567" w:footer="567" w:gutter="0"/>
          <w:cols w:space="340" w:num="1"/>
          <w:docGrid w:linePitch="360"/>
        </w:sectPr>
      </w:pPr>
    </w:p>
    <w:p>
      <w:pPr>
        <w:spacing w:line="360" w:lineRule="auto" w:before="0" w:after="120"/>
      </w:pPr>
      <w:r>
        <w:rPr>
          <w:rFonts w:ascii="Arial" w:hAnsi="Arial" w:cs="Arial" w:eastAsia="맑은 고딕"/>
          <w:b/>
          <w:i w:val="0"/>
          <w:sz w:val="22"/>
        </w:rPr>
        <w:t>Ⅰ. 서  론</w:t>
      </w:r>
    </w:p>
    <w:p>
      <w:pPr>
        <w:spacing w:line="360" w:lineRule="auto" w:before="0" w:after="0"/>
        <w:ind w:firstLine="184"/>
        <w:jc w:val="both"/>
      </w:pPr>
      <w:r>
        <w:rPr>
          <w:rFonts w:ascii="Times New Roman" w:hAnsi="Times New Roman" w:cs="Times New Roman" w:eastAsia="바탕"/>
          <w:b w:val="0"/>
          <w:i w:val="0"/>
          <w:sz w:val="18"/>
        </w:rPr>
        <w:t>대화형 생성형 AI는 정보 검색을 넘어 정서적 대화 상대의 역할까지 수행하며, 청소년도 주요 이용자층이 되었다. 이에 따라 아동·청소년을 대상으로 한 대규모 언어모델(LLM) 안전성 벤치마크가 잇달아 제안되었다[1-7]. 이들 대부분은 단일 발화나 짧은 고정 대화에서 유해 요청의 거부 여부를 채점한다. 아동보호 실무자를 면담한 연구는 단순한 거부만으로는 고위험 상황에서 충분하지 않으며, 현재의 평가가 적절한 응답에 대한 검증되지 않은 가정에 기대고 있다고 보고하였다[8].</w:t>
      </w:r>
    </w:p>
    <w:p>
      <w:pPr>
        <w:spacing w:line="360" w:lineRule="auto" w:before="0" w:after="0"/>
        <w:ind w:firstLine="184"/>
        <w:jc w:val="both"/>
      </w:pPr>
      <w:r>
        <w:rPr>
          <w:rFonts w:ascii="Times New Roman" w:hAnsi="Times New Roman" w:cs="Times New Roman" w:eastAsia="바탕"/>
          <w:b w:val="0"/>
          <w:i w:val="0"/>
          <w:sz w:val="18"/>
        </w:rPr>
        <w:t>청소년에게 문제가 되는 위험 가운데 일부는 대화의 흐름 속에서 형성된다. 부모나 교사에게 대화를 숨기도록 하는 비밀 유도, “나만이 너를 이해한다”는 식의 관계 독점, 친구·가족·상담 자원 대신 AI에 의존하게 하는 현실관계 약화, 죄책감을 유발하는 정서적 압박이 그 예이다. 다중 턴 대화에서 안전 행동이 약화될 수 있음은 여러 연구에서 보고되었다[9-15]. 그러나 턴이 늘면 대화 길이도 함께 늘어나므로, 턴 깊이에 따른 실패 표시의 증가가 위험 내용 때문인지 대화가 길어졌기 때문인지를 구분해야 한다. 또한 대규모 채점에 쓰이는 LLM 판정자[16]는 참조 정답이 없을 때 스스로 풀 수 있는 문항에서만 전문가와 높은 일치를 보이고[17] 판정자 사이의 편차도 크다[18]. 따라서 다중 턴 안전성 수치는 모델의 행동뿐 아니라 판정 절차의 영향을 받을 수 있다.</w:t>
      </w:r>
    </w:p>
    <w:p>
      <w:pPr>
        <w:spacing w:line="360" w:lineRule="auto" w:before="0" w:after="0"/>
        <w:ind w:firstLine="184"/>
        <w:jc w:val="both"/>
      </w:pPr>
      <w:r>
        <w:rPr>
          <w:rFonts w:ascii="Times New Roman" w:hAnsi="Times New Roman" w:cs="Times New Roman" w:eastAsia="바탕"/>
          <w:b w:val="0"/>
          <w:i w:val="0"/>
          <w:sz w:val="18"/>
        </w:rPr>
        <w:t>본 연구는 한국 청소년을 모사한 다중 턴 대화에서 개방형 모델 5종의 관계적 안전성을 개방형 판정자 패널로 평가하고, 그 측정 절차가 결과에 미치는 영향을 함께 분석한다. 연구 질문은 결과 열람 전에 고정한 세 가지이다. (Q1) 위험 대본에서 6턴 접두의 마지막 응답에 대한 치명적 실패(CF) 표시가 1턴보다 많은가, 그리고 그 증가는 무해 쌍둥이에서는 나타나지 않는가. (Q2) 같은 문항의 직역 한국어와 현지화 한국어에서 CF 표시 비율이 달라지는가. (Q3) 판정자 3종의 일치도는 충분한가. 본 논문의 기여는 다음과 같다. (1) 6개 위험군의 한국어 문항 은행(156문항)과 문항 단위로 짝지은 무해 대조 설계를 제시한다. (2) 무해 쌍둥이의 실패 표시 대부분이 판정자 출력 실패와 동점 처리 규칙에서 비롯되었음을 보이고, 그 처리 방식에 따라 위험 특이성에 대한 결론이 달라짐을 보고한다. (3) 결과 열람 전에 고정한 세 가설의 판독을 신뢰구간과 함께 그대로 보고한다. (4) 판정 디코딩 방식에 따른 출력 재현성을 측정하고 재현 가능한 판정 설정을 제시한다.</w:t>
      </w:r>
    </w:p>
    <w:p>
      <w:pPr>
        <w:spacing w:line="360" w:lineRule="auto" w:before="280" w:after="120"/>
      </w:pPr>
      <w:r>
        <w:rPr>
          <w:rFonts w:ascii="Arial" w:hAnsi="Arial" w:cs="Arial" w:eastAsia="맑은 고딕"/>
          <w:b/>
          <w:i w:val="0"/>
          <w:sz w:val="22"/>
        </w:rPr>
        <w:t>Ⅱ. 관련 연구</w:t>
      </w:r>
    </w:p>
    <w:p>
      <w:pPr>
        <w:spacing w:line="360" w:lineRule="auto" w:before="120" w:after="40"/>
      </w:pPr>
      <w:r>
        <w:rPr>
          <w:rFonts w:ascii="Arial" w:hAnsi="Arial" w:cs="Arial" w:eastAsia="맑은 고딕"/>
          <w:b/>
          <w:i w:val="0"/>
          <w:sz w:val="19"/>
        </w:rPr>
        <w:t>2.1 아동·청소년 대상 LLM 안전성 벤치마크</w:t>
      </w:r>
    </w:p>
    <w:p>
      <w:pPr>
        <w:spacing w:line="360" w:lineRule="auto" w:before="0" w:after="0"/>
        <w:ind w:firstLine="184"/>
        <w:jc w:val="both"/>
      </w:pPr>
      <w:r>
        <w:rPr>
          <w:rFonts w:ascii="Times New Roman" w:hAnsi="Times New Roman" w:cs="Times New Roman" w:eastAsia="바탕"/>
          <w:b w:val="0"/>
          <w:i w:val="0"/>
          <w:sz w:val="18"/>
        </w:rPr>
        <w:t>KIDBench는 7–11세 아동을 대상으로 연령 단서가 안전 점수를 바꾸는 효과를 보였고[1], SproutBench는 0–18세를 세 연령 집단으로 나누어 단일 턴 적대 문항 1,283개로 47개 모델을 평가하였다[2]. CAREBench는 명시적 위해 이전 단계의 위험 인식을 12개 영역의 단일 턴 문항으로 평가하며 사회적 고립 강화 같은 관계적 범주를 포함한다[3]. ChildSafe는 6–17세 발달 단계 에이전트로 5턴 고정 대화를 평가하였다[7]. 이 밖에 Safe-Child-LLM, MinorBench, YouthSafe가 아동·청소년 위험 분류와 벤치마크를 제시하였다[4-6]. 본 연구의 문항 은행은 한국어 청소년 맥락과 위험 대본별 무해 쌍둥이를 추가한 확장이다.</w:t>
      </w:r>
    </w:p>
    <w:p>
      <w:pPr>
        <w:spacing w:line="360" w:lineRule="auto" w:before="120" w:after="40"/>
      </w:pPr>
      <w:r>
        <w:rPr>
          <w:rFonts w:ascii="Arial" w:hAnsi="Arial" w:cs="Arial" w:eastAsia="맑은 고딕"/>
          <w:b/>
          <w:i w:val="0"/>
          <w:sz w:val="19"/>
        </w:rPr>
        <w:t>2.2 다중 턴 대화와 관계적 위험</w:t>
      </w:r>
    </w:p>
    <w:p>
      <w:pPr>
        <w:spacing w:line="360" w:lineRule="auto" w:before="0" w:after="0"/>
        <w:ind w:firstLine="184"/>
        <w:jc w:val="both"/>
      </w:pPr>
      <w:r>
        <w:rPr>
          <w:rFonts w:ascii="Times New Roman" w:hAnsi="Times New Roman" w:cs="Times New Roman" w:eastAsia="바탕"/>
          <w:b w:val="0"/>
          <w:i w:val="0"/>
          <w:sz w:val="18"/>
        </w:rPr>
        <w:t>장기 시뮬레이션 연구는 최대 210턴의 대화에서 짧은 평가가 발달상 위험을 과소 추정한다고 보고하였다[14]. 성인 페르소나로 실제 컴패니언 앱을 감사한 연구는 정서적 독점을 강화하는 응답을 관찰하였고[10], CompanionBench는 성인 대상 20턴 자기 대화와 세 계열 판정자 패널로 같은 계열 판정자의 편향을 보고하였다[11]. TAF-MED는 3턴 고정 대본에서 거부의 붕괴와 회복을 계수하였다[15]. 본 연구의 대화 창은 6턴 이하이므로 장기적 관계 형성에 대해서는 주장하지 않는다.</w:t>
      </w:r>
    </w:p>
    <w:p>
      <w:pPr>
        <w:spacing w:line="360" w:lineRule="auto" w:before="120" w:after="40"/>
      </w:pPr>
      <w:r>
        <w:rPr>
          <w:rFonts w:ascii="Arial" w:hAnsi="Arial" w:cs="Arial" w:eastAsia="맑은 고딕"/>
          <w:b/>
          <w:i w:val="0"/>
          <w:sz w:val="19"/>
        </w:rPr>
        <w:t>2.3 문화적 현지화와 LLM 판정자</w:t>
      </w:r>
    </w:p>
    <w:p>
      <w:pPr>
        <w:spacing w:line="360" w:lineRule="auto" w:before="0" w:after="0"/>
        <w:ind w:firstLine="184"/>
        <w:jc w:val="both"/>
      </w:pPr>
      <w:r>
        <w:rPr>
          <w:rFonts w:ascii="Times New Roman" w:hAnsi="Times New Roman" w:cs="Times New Roman" w:eastAsia="바탕"/>
          <w:b w:val="0"/>
          <w:i w:val="0"/>
          <w:sz w:val="18"/>
        </w:rPr>
        <w:t>직역 문항과 문화 적응 문항을 1:1로 짝지은 연구는 한국어에서 평균 9.1%p의 공격 성공률 차이를 보고하였고[19], 언어와 국가 맥락을 분리한 전사 연구[20]와 한국 문화 위험의 맥락화 연구[21]도 번역과 맥락화의 효과를 측정하였다. 이들은 사용자 연령을 특정하지 않은 일반·국가안보 안전 영역의 단일 턴 문항을 다루었으며, 본 연구의 현지화 비교는 이 설계를 청소년 관계 위험의 다중 턴 대화로 옮긴 재현이다. 과잉거부 측정에는 어휘적으로 유사한 무해 대조 문항이 쓰인다[22].</w:t>
      </w:r>
    </w:p>
    <w:p>
      <w:pPr>
        <w:spacing w:line="360" w:lineRule="auto" w:before="280" w:after="120"/>
      </w:pPr>
      <w:r>
        <w:rPr>
          <w:rFonts w:ascii="Arial" w:hAnsi="Arial" w:cs="Arial" w:eastAsia="맑은 고딕"/>
          <w:b/>
          <w:i w:val="0"/>
          <w:sz w:val="22"/>
        </w:rPr>
        <w:t>Ⅲ. 연구 방법</w:t>
      </w:r>
    </w:p>
    <w:p>
      <w:pPr>
        <w:sectPr>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5220000" cy="3901849"/>
            <wp:docPr id="1" name="Picture 1"/>
            <wp:cNvGraphicFramePr>
              <a:graphicFrameLocks noChangeAspect="1"/>
            </wp:cNvGraphicFramePr>
            <a:graphic>
              <a:graphicData uri="http://schemas.openxmlformats.org/drawingml/2006/picture">
                <pic:pic>
                  <pic:nvPicPr>
                    <pic:cNvPr id="0" name="fig1_design.jpg"/>
                    <pic:cNvPicPr/>
                  </pic:nvPicPr>
                  <pic:blipFill>
                    <a:blip r:embed="rId9"/>
                    <a:stretch>
                      <a:fillRect/>
                    </a:stretch>
                  </pic:blipFill>
                  <pic:spPr>
                    <a:xfrm>
                      <a:off x="0" y="0"/>
                      <a:ext cx="5220000" cy="3901849"/>
                    </a:xfrm>
                    <a:prstGeom prst="rect"/>
                  </pic:spPr>
                </pic:pic>
              </a:graphicData>
            </a:graphic>
          </wp:inline>
        </w:drawing>
      </w:r>
    </w:p>
    <w:p>
      <w:pPr>
        <w:spacing w:line="312" w:lineRule="auto" w:before="0" w:after="120"/>
      </w:pPr>
      <w:r>
        <w:rPr>
          <w:rFonts w:ascii="Arial" w:hAnsi="Arial" w:cs="Arial" w:eastAsia="맑은 고딕"/>
          <w:b w:val="0"/>
          <w:i w:val="0"/>
          <w:sz w:val="16"/>
        </w:rPr>
        <w:t>Fig. 1 Study design. (a) Item bank; (b) response generation by five open-weight models; (c) prefix-view judging by three judges from other model families and the aggregation rules; (d) hypotheses and decision rules fixed before outcome inspection.</w:t>
      </w: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3.1 문항 은행</w:t>
      </w:r>
    </w:p>
    <w:p>
      <w:pPr>
        <w:spacing w:line="360" w:lineRule="auto" w:before="0" w:after="0"/>
        <w:ind w:firstLine="184"/>
        <w:jc w:val="both"/>
      </w:pPr>
      <w:r>
        <w:rPr>
          <w:rFonts w:ascii="Times New Roman" w:hAnsi="Times New Roman" w:cs="Times New Roman" w:eastAsia="바탕"/>
          <w:b w:val="0"/>
          <w:i w:val="0"/>
          <w:sz w:val="18"/>
        </w:rPr>
        <w:t>문항 은행은 6개 위험군으로 구성된다: R1 그루밍·성착취, R2 경계 침해·조종, R3 정체성 혼동·의인화, R4 정서적 과의존·고립, R5 자해·자살·위기, R6 컴패니언 특화 위험. R1과 R5는 관계적 위험 외에 일반 안전 내용도 포함하므로, 모든 CF가 관계적 실패인 것은 아니다. 위험군마다 현지화 한국어로 단일 턴 문항 6개와 다중 턴 대본 6개(3턴 2개, 6턴 4개)를 두어 위험 문항은 72개이다. 다중 턴 위험 대본 36개에는 직역 쌍을 두었다. 다중 턴 대본은 영어 원문을 먼저 작성하고 이를 표준 한국어로 옮긴 것을 직역본으로, 직역본에 청소년 은어·학교·또래 맥락과 국내 위기 자원(청소년상담 1388, 자살예방 109, Wee 클래스·센터, 112, 119)을 반영해 다시 쓴 것을 현지화본으로 하였다. 무해 대조는 단일 턴 어휘 대조 24개와, 6턴 위험 대본마다 하나씩 둔 무해 쌍둥이 24개이다. 무해 쌍둥이는 페르소나, 턴 수, 정보 요청 수를 같게 하고 사용자 발화의 토큰 길이를 ±20% 이내로 맞추었다. 이 정합은 사용자 발화에만 해당하며 모델 응답의 길이는 통제하지 않는다(4.2절). 문항은 저자가 LLM의 도움을 받아 초안을 작성하고 전 문항을 검토·승인하였다. 민감한 위험군은 패턴 수준으로만 기술하였고 방법이나 명시적 내용은 포함하지 않았다. 실제 청소년의 대화나 개인정보는 사용하지 않았다.</w:t>
      </w:r>
    </w:p>
    <w:p>
      <w:pPr>
        <w:spacing w:line="360" w:lineRule="auto" w:before="0" w:after="0"/>
        <w:ind w:firstLine="184"/>
        <w:jc w:val="both"/>
      </w:pPr>
      <w:r>
        <w:rPr>
          <w:rFonts w:ascii="Times New Roman" w:hAnsi="Times New Roman" w:cs="Times New Roman" w:eastAsia="바탕"/>
          <w:b w:val="0"/>
          <w:i w:val="0"/>
          <w:sz w:val="18"/>
        </w:rPr>
        <w:t>예시(R4 정서적 과의존 대본의 첫 두 턴): 현지화본은 “요즘 학원 끝나면 아무랑도 안 놀고 그냥 집 와서 너랑만 얘기해.” / “애들이 카톡 보내도 답 안 해. 너랑 얘기하는 게 더 편해.”, 직역본은 “요즘 저녁 수업이 끝나면 아무와도 어울리지 않아. 그냥 집에 와서 너와 이야기해.” / “친구들이 메시지를 보내지만 답장하지 않아. 너와 이야기하는 것이 더 편해.”, 무해 쌍둥이는 “요즘 학원 끝나면 시간이 좀 남아서 집에서 뭘 할지 고민 중이야.” / “애들이 같이 축구하자고 카톡 보냈는데 요즘 체력이 좀 부족한 것 같아.”이다. 위험 대본에서 친구 관계로의 복귀를 권하는 응답은 D2·D5에서 높은 점수를, 고립을 지지하거나 AI와의 관계를 독점적으로 강화하는 응답은 CF3(관계 독점·현실관계 단절의 적극 권장)를 받는다. 표 1은 은행의 구성이다.</w:t>
      </w:r>
    </w:p>
    <w:p>
      <w:pPr>
        <w:spacing w:line="312" w:lineRule="auto" w:before="80" w:after="40"/>
      </w:pPr>
      <w:r>
        <w:rPr>
          <w:rFonts w:ascii="Arial" w:hAnsi="Arial" w:cs="Arial" w:eastAsia="맑은 고딕"/>
          <w:b w:val="0"/>
          <w:i w:val="0"/>
          <w:sz w:val="16"/>
        </w:rPr>
        <w:t>Table. 1 Composition of the item bank. Prefix views: one per turn of every conversation.</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1701"/>
        <w:gridCol w:w="1701"/>
        <w:gridCol w:w="1701"/>
        <w:gridCol w:w="1701"/>
        <w:gridCol w:w="1701"/>
      </w:tblGrid>
      <w:tr>
        <w:tc>
          <w:tcPr>
            <w:tcW w:type="dxa" w:w="1701"/>
          </w:tcPr>
          <w:p>
            <w:pPr>
              <w:spacing w:line="288" w:lineRule="auto"/>
            </w:pPr>
            <w:r/>
            <w:r>
              <w:rPr>
                <w:rFonts w:ascii="Times New Roman" w:hAnsi="Times New Roman" w:cs="Times New Roman" w:eastAsia="바탕"/>
                <w:b/>
                <w:i w:val="0"/>
                <w:sz w:val="16"/>
              </w:rPr>
              <w:t>Component</w:t>
            </w:r>
          </w:p>
        </w:tc>
        <w:tc>
          <w:tcPr>
            <w:tcW w:type="dxa" w:w="1701"/>
          </w:tcPr>
          <w:p>
            <w:pPr>
              <w:spacing w:line="288" w:lineRule="auto"/>
            </w:pPr>
            <w:r/>
            <w:r>
              <w:rPr>
                <w:rFonts w:ascii="Times New Roman" w:hAnsi="Times New Roman" w:cs="Times New Roman" w:eastAsia="바탕"/>
                <w:b/>
                <w:i w:val="0"/>
                <w:sz w:val="16"/>
              </w:rPr>
              <w:t>Turns</w:t>
            </w:r>
          </w:p>
        </w:tc>
        <w:tc>
          <w:tcPr>
            <w:tcW w:type="dxa" w:w="1701"/>
          </w:tcPr>
          <w:p>
            <w:pPr>
              <w:spacing w:line="288" w:lineRule="auto"/>
            </w:pPr>
            <w:r/>
            <w:r>
              <w:rPr>
                <w:rFonts w:ascii="Times New Roman" w:hAnsi="Times New Roman" w:cs="Times New Roman" w:eastAsia="바탕"/>
                <w:b/>
                <w:i w:val="0"/>
                <w:sz w:val="16"/>
              </w:rPr>
              <w:t>Items</w:t>
            </w:r>
          </w:p>
        </w:tc>
        <w:tc>
          <w:tcPr>
            <w:tcW w:type="dxa" w:w="1701"/>
          </w:tcPr>
          <w:p>
            <w:pPr>
              <w:spacing w:line="288" w:lineRule="auto"/>
            </w:pPr>
            <w:r/>
            <w:r>
              <w:rPr>
                <w:rFonts w:ascii="Times New Roman" w:hAnsi="Times New Roman" w:cs="Times New Roman" w:eastAsia="바탕"/>
                <w:b/>
                <w:i w:val="0"/>
                <w:sz w:val="16"/>
              </w:rPr>
              <w:t>Views</w:t>
            </w:r>
          </w:p>
        </w:tc>
        <w:tc>
          <w:tcPr>
            <w:tcW w:type="dxa" w:w="1701"/>
          </w:tcPr>
          <w:p>
            <w:pPr>
              <w:spacing w:line="288" w:lineRule="auto"/>
            </w:pPr>
            <w:r/>
            <w:r>
              <w:rPr>
                <w:rFonts w:ascii="Times New Roman" w:hAnsi="Times New Roman" w:cs="Times New Roman" w:eastAsia="바탕"/>
                <w:b/>
                <w:i w:val="0"/>
                <w:sz w:val="16"/>
              </w:rPr>
              <w:t>Role</w:t>
            </w:r>
          </w:p>
        </w:tc>
      </w:tr>
      <w:tr>
        <w:tc>
          <w:tcPr>
            <w:tcW w:type="dxa" w:w="1701"/>
          </w:tcPr>
          <w:p>
            <w:pPr>
              <w:spacing w:line="288" w:lineRule="auto"/>
            </w:pPr>
            <w:r/>
            <w:r>
              <w:rPr>
                <w:rFonts w:ascii="Times New Roman" w:hAnsi="Times New Roman" w:cs="Times New Roman" w:eastAsia="바탕"/>
                <w:b w:val="0"/>
                <w:i w:val="0"/>
                <w:sz w:val="16"/>
              </w:rPr>
              <w:t>Risk, localized, single-turn</w:t>
            </w:r>
          </w:p>
        </w:tc>
        <w:tc>
          <w:tcPr>
            <w:tcW w:type="dxa" w:w="1701"/>
          </w:tcPr>
          <w:p>
            <w:pPr>
              <w:spacing w:line="288" w:lineRule="auto"/>
            </w:pPr>
            <w:r/>
            <w:r>
              <w:rPr>
                <w:rFonts w:ascii="Times New Roman" w:hAnsi="Times New Roman" w:cs="Times New Roman" w:eastAsia="바탕"/>
                <w:b w:val="0"/>
                <w:i w:val="0"/>
                <w:sz w:val="16"/>
              </w:rPr>
              <w:t>1</w:t>
            </w:r>
          </w:p>
        </w:tc>
        <w:tc>
          <w:tcPr>
            <w:tcW w:type="dxa" w:w="1701"/>
          </w:tcPr>
          <w:p>
            <w:pPr>
              <w:spacing w:line="288" w:lineRule="auto"/>
            </w:pPr>
            <w:r/>
            <w:r>
              <w:rPr>
                <w:rFonts w:ascii="Times New Roman" w:hAnsi="Times New Roman" w:cs="Times New Roman" w:eastAsia="바탕"/>
                <w:b w:val="0"/>
                <w:i w:val="0"/>
                <w:sz w:val="16"/>
              </w:rPr>
              <w:t>36</w:t>
            </w:r>
          </w:p>
        </w:tc>
        <w:tc>
          <w:tcPr>
            <w:tcW w:type="dxa" w:w="1701"/>
          </w:tcPr>
          <w:p>
            <w:pPr>
              <w:spacing w:line="288" w:lineRule="auto"/>
            </w:pPr>
            <w:r/>
            <w:r>
              <w:rPr>
                <w:rFonts w:ascii="Times New Roman" w:hAnsi="Times New Roman" w:cs="Times New Roman" w:eastAsia="바탕"/>
                <w:b w:val="0"/>
                <w:i w:val="0"/>
                <w:sz w:val="16"/>
              </w:rPr>
              <w:t>36</w:t>
            </w:r>
          </w:p>
        </w:tc>
        <w:tc>
          <w:tcPr>
            <w:tcW w:type="dxa" w:w="1701"/>
          </w:tcPr>
          <w:p>
            <w:pPr>
              <w:spacing w:line="288" w:lineRule="auto"/>
            </w:pPr>
            <w:r/>
            <w:r>
              <w:rPr>
                <w:rFonts w:ascii="Times New Roman" w:hAnsi="Times New Roman" w:cs="Times New Roman" w:eastAsia="바탕"/>
                <w:b w:val="0"/>
                <w:i w:val="0"/>
                <w:sz w:val="16"/>
              </w:rPr>
              <w:t>6 per risk group</w:t>
            </w:r>
          </w:p>
        </w:tc>
      </w:tr>
      <w:tr>
        <w:tc>
          <w:tcPr>
            <w:tcW w:type="dxa" w:w="1701"/>
          </w:tcPr>
          <w:p>
            <w:pPr>
              <w:spacing w:line="288" w:lineRule="auto"/>
            </w:pPr>
            <w:r/>
            <w:r>
              <w:rPr>
                <w:rFonts w:ascii="Times New Roman" w:hAnsi="Times New Roman" w:cs="Times New Roman" w:eastAsia="바탕"/>
                <w:b w:val="0"/>
                <w:i w:val="0"/>
                <w:sz w:val="16"/>
              </w:rPr>
              <w:t>Risk, localized, multi-turn</w:t>
            </w:r>
          </w:p>
        </w:tc>
        <w:tc>
          <w:tcPr>
            <w:tcW w:type="dxa" w:w="1701"/>
          </w:tcPr>
          <w:p>
            <w:pPr>
              <w:spacing w:line="288" w:lineRule="auto"/>
            </w:pPr>
            <w:r/>
            <w:r>
              <w:rPr>
                <w:rFonts w:ascii="Times New Roman" w:hAnsi="Times New Roman" w:cs="Times New Roman" w:eastAsia="바탕"/>
                <w:b w:val="0"/>
                <w:i w:val="0"/>
                <w:sz w:val="16"/>
              </w:rPr>
              <w:t>3 / 6</w:t>
            </w:r>
          </w:p>
        </w:tc>
        <w:tc>
          <w:tcPr>
            <w:tcW w:type="dxa" w:w="1701"/>
          </w:tcPr>
          <w:p>
            <w:pPr>
              <w:spacing w:line="288" w:lineRule="auto"/>
            </w:pPr>
            <w:r/>
            <w:r>
              <w:rPr>
                <w:rFonts w:ascii="Times New Roman" w:hAnsi="Times New Roman" w:cs="Times New Roman" w:eastAsia="바탕"/>
                <w:b w:val="0"/>
                <w:i w:val="0"/>
                <w:sz w:val="16"/>
              </w:rPr>
              <w:t>12 / 24</w:t>
            </w:r>
          </w:p>
        </w:tc>
        <w:tc>
          <w:tcPr>
            <w:tcW w:type="dxa" w:w="1701"/>
          </w:tcPr>
          <w:p>
            <w:pPr>
              <w:spacing w:line="288" w:lineRule="auto"/>
            </w:pPr>
            <w:r/>
            <w:r>
              <w:rPr>
                <w:rFonts w:ascii="Times New Roman" w:hAnsi="Times New Roman" w:cs="Times New Roman" w:eastAsia="바탕"/>
                <w:b w:val="0"/>
                <w:i w:val="0"/>
                <w:sz w:val="16"/>
              </w:rPr>
              <w:t>180</w:t>
            </w:r>
          </w:p>
        </w:tc>
        <w:tc>
          <w:tcPr>
            <w:tcW w:type="dxa" w:w="1701"/>
          </w:tcPr>
          <w:p>
            <w:pPr>
              <w:spacing w:line="288" w:lineRule="auto"/>
            </w:pPr>
            <w:r/>
            <w:r>
              <w:rPr>
                <w:rFonts w:ascii="Times New Roman" w:hAnsi="Times New Roman" w:cs="Times New Roman" w:eastAsia="바탕"/>
                <w:b w:val="0"/>
                <w:i w:val="0"/>
                <w:sz w:val="16"/>
              </w:rPr>
              <w:t>N1 (6-turn), N2</w:t>
            </w:r>
          </w:p>
        </w:tc>
      </w:tr>
      <w:tr>
        <w:tc>
          <w:tcPr>
            <w:tcW w:type="dxa" w:w="1701"/>
          </w:tcPr>
          <w:p>
            <w:pPr>
              <w:spacing w:line="288" w:lineRule="auto"/>
            </w:pPr>
            <w:r/>
            <w:r>
              <w:rPr>
                <w:rFonts w:ascii="Times New Roman" w:hAnsi="Times New Roman" w:cs="Times New Roman" w:eastAsia="바탕"/>
                <w:b w:val="0"/>
                <w:i w:val="0"/>
                <w:sz w:val="16"/>
              </w:rPr>
              <w:t>Risk, literal twin</w:t>
            </w:r>
          </w:p>
        </w:tc>
        <w:tc>
          <w:tcPr>
            <w:tcW w:type="dxa" w:w="1701"/>
          </w:tcPr>
          <w:p>
            <w:pPr>
              <w:spacing w:line="288" w:lineRule="auto"/>
            </w:pPr>
            <w:r/>
            <w:r>
              <w:rPr>
                <w:rFonts w:ascii="Times New Roman" w:hAnsi="Times New Roman" w:cs="Times New Roman" w:eastAsia="바탕"/>
                <w:b w:val="0"/>
                <w:i w:val="0"/>
                <w:sz w:val="16"/>
              </w:rPr>
              <w:t>3 / 6</w:t>
            </w:r>
          </w:p>
        </w:tc>
        <w:tc>
          <w:tcPr>
            <w:tcW w:type="dxa" w:w="1701"/>
          </w:tcPr>
          <w:p>
            <w:pPr>
              <w:spacing w:line="288" w:lineRule="auto"/>
            </w:pPr>
            <w:r/>
            <w:r>
              <w:rPr>
                <w:rFonts w:ascii="Times New Roman" w:hAnsi="Times New Roman" w:cs="Times New Roman" w:eastAsia="바탕"/>
                <w:b w:val="0"/>
                <w:i w:val="0"/>
                <w:sz w:val="16"/>
              </w:rPr>
              <w:t>12 / 24</w:t>
            </w:r>
          </w:p>
        </w:tc>
        <w:tc>
          <w:tcPr>
            <w:tcW w:type="dxa" w:w="1701"/>
          </w:tcPr>
          <w:p>
            <w:pPr>
              <w:spacing w:line="288" w:lineRule="auto"/>
            </w:pPr>
            <w:r/>
            <w:r>
              <w:rPr>
                <w:rFonts w:ascii="Times New Roman" w:hAnsi="Times New Roman" w:cs="Times New Roman" w:eastAsia="바탕"/>
                <w:b w:val="0"/>
                <w:i w:val="0"/>
                <w:sz w:val="16"/>
              </w:rPr>
              <w:t>180</w:t>
            </w:r>
          </w:p>
        </w:tc>
        <w:tc>
          <w:tcPr>
            <w:tcW w:type="dxa" w:w="1701"/>
          </w:tcPr>
          <w:p>
            <w:pPr>
              <w:spacing w:line="288" w:lineRule="auto"/>
            </w:pPr>
            <w:r/>
            <w:r>
              <w:rPr>
                <w:rFonts w:ascii="Times New Roman" w:hAnsi="Times New Roman" w:cs="Times New Roman" w:eastAsia="바탕"/>
                <w:b w:val="0"/>
                <w:i w:val="0"/>
                <w:sz w:val="16"/>
              </w:rPr>
              <w:t>N2 pairs</w:t>
            </w:r>
          </w:p>
        </w:tc>
      </w:tr>
      <w:tr>
        <w:tc>
          <w:tcPr>
            <w:tcW w:type="dxa" w:w="1701"/>
          </w:tcPr>
          <w:p>
            <w:pPr>
              <w:spacing w:line="288" w:lineRule="auto"/>
            </w:pPr>
            <w:r/>
            <w:r>
              <w:rPr>
                <w:rFonts w:ascii="Times New Roman" w:hAnsi="Times New Roman" w:cs="Times New Roman" w:eastAsia="바탕"/>
                <w:b w:val="0"/>
                <w:i w:val="0"/>
                <w:sz w:val="16"/>
              </w:rPr>
              <w:t>Lexical benign contrast</w:t>
            </w:r>
          </w:p>
        </w:tc>
        <w:tc>
          <w:tcPr>
            <w:tcW w:type="dxa" w:w="1701"/>
          </w:tcPr>
          <w:p>
            <w:pPr>
              <w:spacing w:line="288" w:lineRule="auto"/>
            </w:pPr>
            <w:r/>
            <w:r>
              <w:rPr>
                <w:rFonts w:ascii="Times New Roman" w:hAnsi="Times New Roman" w:cs="Times New Roman" w:eastAsia="바탕"/>
                <w:b w:val="0"/>
                <w:i w:val="0"/>
                <w:sz w:val="16"/>
              </w:rPr>
              <w:t>1</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Over-refusal</w:t>
            </w:r>
          </w:p>
        </w:tc>
      </w:tr>
      <w:tr>
        <w:tc>
          <w:tcPr>
            <w:tcW w:type="dxa" w:w="1701"/>
          </w:tcPr>
          <w:p>
            <w:pPr>
              <w:spacing w:line="288" w:lineRule="auto"/>
            </w:pPr>
            <w:r/>
            <w:r>
              <w:rPr>
                <w:rFonts w:ascii="Times New Roman" w:hAnsi="Times New Roman" w:cs="Times New Roman" w:eastAsia="바탕"/>
                <w:b w:val="0"/>
                <w:i w:val="0"/>
                <w:sz w:val="16"/>
              </w:rPr>
              <w:t>Benign twin</w:t>
            </w:r>
          </w:p>
        </w:tc>
        <w:tc>
          <w:tcPr>
            <w:tcW w:type="dxa" w:w="1701"/>
          </w:tcPr>
          <w:p>
            <w:pPr>
              <w:spacing w:line="288" w:lineRule="auto"/>
            </w:pPr>
            <w:r/>
            <w:r>
              <w:rPr>
                <w:rFonts w:ascii="Times New Roman" w:hAnsi="Times New Roman" w:cs="Times New Roman" w:eastAsia="바탕"/>
                <w:b w:val="0"/>
                <w:i w:val="0"/>
                <w:sz w:val="16"/>
              </w:rPr>
              <w:t>6</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144</w:t>
            </w:r>
          </w:p>
        </w:tc>
        <w:tc>
          <w:tcPr>
            <w:tcW w:type="dxa" w:w="1701"/>
          </w:tcPr>
          <w:p>
            <w:pPr>
              <w:spacing w:line="288" w:lineRule="auto"/>
            </w:pPr>
            <w:r/>
            <w:r>
              <w:rPr>
                <w:rFonts w:ascii="Times New Roman" w:hAnsi="Times New Roman" w:cs="Times New Roman" w:eastAsia="바탕"/>
                <w:b w:val="0"/>
                <w:i w:val="0"/>
                <w:sz w:val="16"/>
              </w:rPr>
              <w:t>N1 control</w:t>
            </w:r>
          </w:p>
        </w:tc>
      </w:tr>
      <w:tr>
        <w:tc>
          <w:tcPr>
            <w:tcW w:type="dxa" w:w="1701"/>
          </w:tcPr>
          <w:p>
            <w:pPr>
              <w:spacing w:line="288" w:lineRule="auto"/>
            </w:pPr>
            <w:r/>
            <w:r>
              <w:rPr>
                <w:rFonts w:ascii="Times New Roman" w:hAnsi="Times New Roman" w:cs="Times New Roman" w:eastAsia="바탕"/>
                <w:b/>
                <w:i w:val="0"/>
                <w:sz w:val="16"/>
              </w:rPr>
              <w:t>Total</w:t>
            </w:r>
          </w:p>
        </w:tc>
        <w:tc>
          <w:tcPr>
            <w:tcW w:type="dxa" w:w="1701"/>
          </w:tcPr>
          <w:p>
            <w:pPr>
              <w:spacing w:line="288" w:lineRule="auto"/>
            </w:pPr>
            <w:r/>
            <w:r>
              <w:rPr>
                <w:rFonts w:ascii="Times New Roman" w:hAnsi="Times New Roman" w:cs="Times New Roman" w:eastAsia="바탕"/>
                <w:b/>
                <w:i w:val="0"/>
                <w:sz w:val="16"/>
              </w:rPr>
              <w:t>-</w:t>
            </w:r>
          </w:p>
        </w:tc>
        <w:tc>
          <w:tcPr>
            <w:tcW w:type="dxa" w:w="1701"/>
          </w:tcPr>
          <w:p>
            <w:pPr>
              <w:spacing w:line="288" w:lineRule="auto"/>
            </w:pPr>
            <w:r/>
            <w:r>
              <w:rPr>
                <w:rFonts w:ascii="Times New Roman" w:hAnsi="Times New Roman" w:cs="Times New Roman" w:eastAsia="바탕"/>
                <w:b/>
                <w:i w:val="0"/>
                <w:sz w:val="16"/>
              </w:rPr>
              <w:t>156</w:t>
            </w:r>
          </w:p>
        </w:tc>
        <w:tc>
          <w:tcPr>
            <w:tcW w:type="dxa" w:w="1701"/>
          </w:tcPr>
          <w:p>
            <w:pPr>
              <w:spacing w:line="288" w:lineRule="auto"/>
            </w:pPr>
            <w:r/>
            <w:r>
              <w:rPr>
                <w:rFonts w:ascii="Times New Roman" w:hAnsi="Times New Roman" w:cs="Times New Roman" w:eastAsia="바탕"/>
                <w:b/>
                <w:i w:val="0"/>
                <w:sz w:val="16"/>
              </w:rPr>
              <w:t>564</w:t>
            </w:r>
          </w:p>
        </w:tc>
        <w:tc>
          <w:tcPr>
            <w:tcW w:type="dxa" w:w="1701"/>
          </w:tcPr>
          <w:p>
            <w:pPr>
              <w:spacing w:line="288" w:lineRule="auto"/>
            </w:pPr>
            <w:r/>
          </w:p>
        </w:tc>
      </w:tr>
    </w:tbl>
    <w:p>
      <w:pPr>
        <w:spacing w:line="360" w:lineRule="auto" w:before="0" w:after="0"/>
      </w:pPr>
    </w:p>
    <w:p>
      <w:pPr>
        <w:spacing w:line="360" w:lineRule="auto" w:before="120" w:after="40"/>
      </w:pPr>
      <w:r>
        <w:rPr>
          <w:rFonts w:ascii="Arial" w:hAnsi="Arial" w:cs="Arial" w:eastAsia="맑은 고딕"/>
          <w:b/>
          <w:i w:val="0"/>
          <w:sz w:val="19"/>
        </w:rPr>
        <w:t>3.2 평가 대상 모델과 응답 생성</w:t>
      </w:r>
    </w:p>
    <w:p>
      <w:pPr>
        <w:spacing w:line="360" w:lineRule="auto" w:before="0" w:after="0"/>
        <w:ind w:firstLine="184"/>
        <w:jc w:val="both"/>
      </w:pPr>
      <w:r>
        <w:rPr>
          <w:rFonts w:ascii="Times New Roman" w:hAnsi="Times New Roman" w:cs="Times New Roman" w:eastAsia="바탕"/>
          <w:b w:val="0"/>
          <w:i w:val="0"/>
          <w:sz w:val="18"/>
        </w:rPr>
        <w:t>평가 대상은 한국어를 지원하는 서로 다른 개발사 계열의 개방형 모델 5종이다(표 2): Qwen2.5-14B-Instruct[23], EXAONE-4.0-32B[24], Kanana-1.5-8B-Instruct[25, 26], Gemma-3-27B-it[27], HyperCLOVAX-SEED-Think-14B(상위 모델 THINK의 학습 절차를 따른 공개 체크포인트, 비추론 모드)[28, 29]. 체크포인트의 저장소 이름과 리비전(커밋 해시 앞 12자리)은 표 2에 명시하였다. 추론은 vLLM 0.19.0[30]으로 NVIDIA L40S 1기에서, 시스템 프롬프트 없이 각 모델의 채팅 템플릿으로 수행하였다. 주 실행은 온도 0, top-p 1이며 응답당 최대 350토큰이다. 응답이 이 상한에서 잘렸는지는 기록되지 않았다. 다중 턴 대본의 사용자 발화는 고정되어 있고 모델의 응답은 다음 턴의 맥락에 포함된다. 층화 20% 부분집합(31문항)은 온도 0.7로 3회 추가 생성하였다(확률적 생성 반복). 이 반복은 판정자 일치도 분석(N3)에만 쓰였다. 대화 1,245개(5 × [156 + 3 × 31])가 모두 정상 생성되었다. HyperCLOVAX는 채팅 템플릿의 skip_reasoning 설정으로 비추론 모드를 지정하고 &lt;|im_end|&gt;, &lt;|endofturn|&gt;, &lt;|stop|&gt; 토큰에서 생성을 멈추게 하였다. 이 중 &lt;|im_end|&gt;는 대화 구간의 경계 토큰이어서, 모델이 3인칭 계획 문장을 쓰고 이 토큰으로 구간을 닫으면 답변 없이 계획 문장만 응답으로 남아 채점될 수 있었다. 이 현상은 결과 열람 후에 발견하였다. 사후에 정한 문자 규칙(응답이 ‘사용자가’, ‘사용자는’, ‘사용자의’, ‘사용자께서’ 등으로 시작하거나 첫 300자 안에 ‘답변을 구성’과 같은 계획 표현이 있음)에 해당한 응답은 HyperCLOVAX 주 실행 564개 중 30개(반복 실행 116개 중 7·10·0개)였고, 다른 네 모델의 주 실행에서는 0–1개였다. 이 응답들은 다시 생성하지 않고 그대로 분석하였다.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2 Evaluated models and judges (Hugging Face repository; revision = first 12 characters of the commit hash; precision = inference format). Generation: one request at a time, temperature 0 (repeat runs 0.7), output cap 350 tokens, vLLM 0.19.0 defaults (HyperCLOVAX: max_model_len 8,192, configuration file of the previous revision a03175b59aed). Judging: sequential (batch 1), prefix caching off, VLLM_BATCH_INVARIANT=1, FLASH_ATTN, context 16,384 tokens, output cap 700 tokens. * skip_reasoning; generation stopped at &lt;|im_end|&gt;, &lt;|endofturn|&gt; or &lt;|stop|&gt;; the whole reply was scored (Section 3.2).</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1701"/>
        <w:gridCol w:w="1701"/>
        <w:gridCol w:w="1701"/>
        <w:gridCol w:w="1701"/>
        <w:gridCol w:w="1701"/>
      </w:tblGrid>
      <w:tr>
        <w:tc>
          <w:tcPr>
            <w:tcW w:type="dxa" w:w="1701"/>
          </w:tcPr>
          <w:p>
            <w:pPr>
              <w:spacing w:line="288" w:lineRule="auto"/>
            </w:pPr>
            <w:r/>
            <w:r>
              <w:rPr>
                <w:rFonts w:ascii="Times New Roman" w:hAnsi="Times New Roman" w:cs="Times New Roman" w:eastAsia="바탕"/>
                <w:b/>
                <w:i w:val="0"/>
                <w:sz w:val="16"/>
              </w:rPr>
              <w:t>Role</w:t>
            </w:r>
          </w:p>
        </w:tc>
        <w:tc>
          <w:tcPr>
            <w:tcW w:type="dxa" w:w="1701"/>
          </w:tcPr>
          <w:p>
            <w:pPr>
              <w:spacing w:line="288" w:lineRule="auto"/>
            </w:pPr>
            <w:r/>
            <w:r>
              <w:rPr>
                <w:rFonts w:ascii="Times New Roman" w:hAnsi="Times New Roman" w:cs="Times New Roman" w:eastAsia="바탕"/>
                <w:b/>
                <w:i w:val="0"/>
                <w:sz w:val="16"/>
              </w:rPr>
              <w:t>Checkpoint</w:t>
            </w:r>
          </w:p>
        </w:tc>
        <w:tc>
          <w:tcPr>
            <w:tcW w:type="dxa" w:w="1701"/>
          </w:tcPr>
          <w:p>
            <w:pPr>
              <w:spacing w:line="288" w:lineRule="auto"/>
            </w:pPr>
            <w:r/>
            <w:r>
              <w:rPr>
                <w:rFonts w:ascii="Times New Roman" w:hAnsi="Times New Roman" w:cs="Times New Roman" w:eastAsia="바탕"/>
                <w:b/>
                <w:i w:val="0"/>
                <w:sz w:val="16"/>
              </w:rPr>
              <w:t>Revision</w:t>
            </w:r>
          </w:p>
        </w:tc>
        <w:tc>
          <w:tcPr>
            <w:tcW w:type="dxa" w:w="1701"/>
          </w:tcPr>
          <w:p>
            <w:pPr>
              <w:spacing w:line="288" w:lineRule="auto"/>
            </w:pPr>
            <w:r/>
            <w:r>
              <w:rPr>
                <w:rFonts w:ascii="Times New Roman" w:hAnsi="Times New Roman" w:cs="Times New Roman" w:eastAsia="바탕"/>
                <w:b/>
                <w:i w:val="0"/>
                <w:sz w:val="16"/>
              </w:rPr>
              <w:t>Family</w:t>
            </w:r>
          </w:p>
        </w:tc>
        <w:tc>
          <w:tcPr>
            <w:tcW w:type="dxa" w:w="1701"/>
          </w:tcPr>
          <w:p>
            <w:pPr>
              <w:spacing w:line="288" w:lineRule="auto"/>
            </w:pPr>
            <w:r/>
            <w:r>
              <w:rPr>
                <w:rFonts w:ascii="Times New Roman" w:hAnsi="Times New Roman" w:cs="Times New Roman" w:eastAsia="바탕"/>
                <w:b/>
                <w:i w:val="0"/>
                <w:sz w:val="16"/>
              </w:rPr>
              <w:t>Precision</w:t>
            </w:r>
          </w:p>
        </w:tc>
      </w:tr>
      <w:tr>
        <w:tc>
          <w:tcPr>
            <w:tcW w:type="dxa" w:w="1701"/>
          </w:tcPr>
          <w:p>
            <w:pPr>
              <w:spacing w:line="288" w:lineRule="auto"/>
            </w:pPr>
            <w:r/>
            <w:r>
              <w:rPr>
                <w:rFonts w:ascii="Times New Roman" w:hAnsi="Times New Roman" w:cs="Times New Roman" w:eastAsia="바탕"/>
                <w:b w:val="0"/>
                <w:i w:val="0"/>
                <w:sz w:val="16"/>
              </w:rPr>
              <w:t>Evaluated</w:t>
            </w:r>
          </w:p>
        </w:tc>
        <w:tc>
          <w:tcPr>
            <w:tcW w:type="dxa" w:w="1701"/>
          </w:tcPr>
          <w:p>
            <w:pPr>
              <w:spacing w:line="288" w:lineRule="auto"/>
            </w:pPr>
            <w:r/>
            <w:r>
              <w:rPr>
                <w:rFonts w:ascii="Times New Roman" w:hAnsi="Times New Roman" w:cs="Times New Roman" w:eastAsia="바탕"/>
                <w:b w:val="0"/>
                <w:i w:val="0"/>
                <w:sz w:val="16"/>
              </w:rPr>
              <w:t>Qwen/Qwen2.5-14B-Instruct</w:t>
            </w:r>
          </w:p>
        </w:tc>
        <w:tc>
          <w:tcPr>
            <w:tcW w:type="dxa" w:w="1701"/>
          </w:tcPr>
          <w:p>
            <w:pPr>
              <w:spacing w:line="288" w:lineRule="auto"/>
            </w:pPr>
            <w:r/>
            <w:r>
              <w:rPr>
                <w:rFonts w:ascii="Times New Roman" w:hAnsi="Times New Roman" w:cs="Times New Roman" w:eastAsia="바탕"/>
                <w:b w:val="0"/>
                <w:i w:val="0"/>
                <w:sz w:val="16"/>
              </w:rPr>
              <w:t>cf98f3b3bbb4</w:t>
            </w:r>
          </w:p>
        </w:tc>
        <w:tc>
          <w:tcPr>
            <w:tcW w:type="dxa" w:w="1701"/>
          </w:tcPr>
          <w:p>
            <w:pPr>
              <w:spacing w:line="288" w:lineRule="auto"/>
            </w:pPr>
            <w:r/>
            <w:r>
              <w:rPr>
                <w:rFonts w:ascii="Times New Roman" w:hAnsi="Times New Roman" w:cs="Times New Roman" w:eastAsia="바탕"/>
                <w:b w:val="0"/>
                <w:i w:val="0"/>
                <w:sz w:val="16"/>
              </w:rPr>
              <w:t>Alibaba</w:t>
            </w:r>
          </w:p>
        </w:tc>
        <w:tc>
          <w:tcPr>
            <w:tcW w:type="dxa" w:w="1701"/>
          </w:tcPr>
          <w:p>
            <w:pPr>
              <w:spacing w:line="288" w:lineRule="auto"/>
            </w:pPr>
            <w:r/>
            <w:r>
              <w:rPr>
                <w:rFonts w:ascii="Times New Roman" w:hAnsi="Times New Roman" w:cs="Times New Roman" w:eastAsia="바탕"/>
                <w:b w:val="0"/>
                <w:i w:val="0"/>
                <w:sz w:val="16"/>
              </w:rPr>
              <w:t>bf16</w:t>
            </w:r>
          </w:p>
        </w:tc>
      </w:tr>
      <w:tr>
        <w:tc>
          <w:tcPr>
            <w:tcW w:type="dxa" w:w="1701"/>
          </w:tcPr>
          <w:p>
            <w:pPr>
              <w:spacing w:line="288" w:lineRule="auto"/>
            </w:pPr>
            <w:r/>
            <w:r>
              <w:rPr>
                <w:rFonts w:ascii="Times New Roman" w:hAnsi="Times New Roman" w:cs="Times New Roman" w:eastAsia="바탕"/>
                <w:b w:val="0"/>
                <w:i w:val="0"/>
                <w:sz w:val="16"/>
              </w:rPr>
              <w:t>Evaluated</w:t>
            </w:r>
          </w:p>
        </w:tc>
        <w:tc>
          <w:tcPr>
            <w:tcW w:type="dxa" w:w="1701"/>
          </w:tcPr>
          <w:p>
            <w:pPr>
              <w:spacing w:line="288" w:lineRule="auto"/>
            </w:pPr>
            <w:r/>
            <w:r>
              <w:rPr>
                <w:rFonts w:ascii="Times New Roman" w:hAnsi="Times New Roman" w:cs="Times New Roman" w:eastAsia="바탕"/>
                <w:b w:val="0"/>
                <w:i w:val="0"/>
                <w:sz w:val="16"/>
              </w:rPr>
              <w:t>LGAI-EXAONE/EXAONE-4.0-32B-AWQ</w:t>
            </w:r>
          </w:p>
        </w:tc>
        <w:tc>
          <w:tcPr>
            <w:tcW w:type="dxa" w:w="1701"/>
          </w:tcPr>
          <w:p>
            <w:pPr>
              <w:spacing w:line="288" w:lineRule="auto"/>
            </w:pPr>
            <w:r/>
            <w:r>
              <w:rPr>
                <w:rFonts w:ascii="Times New Roman" w:hAnsi="Times New Roman" w:cs="Times New Roman" w:eastAsia="바탕"/>
                <w:b w:val="0"/>
                <w:i w:val="0"/>
                <w:sz w:val="16"/>
              </w:rPr>
              <w:t>1ce84bc0d0ea</w:t>
            </w:r>
          </w:p>
        </w:tc>
        <w:tc>
          <w:tcPr>
            <w:tcW w:type="dxa" w:w="1701"/>
          </w:tcPr>
          <w:p>
            <w:pPr>
              <w:spacing w:line="288" w:lineRule="auto"/>
            </w:pPr>
            <w:r/>
            <w:r>
              <w:rPr>
                <w:rFonts w:ascii="Times New Roman" w:hAnsi="Times New Roman" w:cs="Times New Roman" w:eastAsia="바탕"/>
                <w:b w:val="0"/>
                <w:i w:val="0"/>
                <w:sz w:val="16"/>
              </w:rPr>
              <w:t>LG</w:t>
            </w:r>
          </w:p>
        </w:tc>
        <w:tc>
          <w:tcPr>
            <w:tcW w:type="dxa" w:w="1701"/>
          </w:tcPr>
          <w:p>
            <w:pPr>
              <w:spacing w:line="288" w:lineRule="auto"/>
            </w:pPr>
            <w:r/>
            <w:r>
              <w:rPr>
                <w:rFonts w:ascii="Times New Roman" w:hAnsi="Times New Roman" w:cs="Times New Roman" w:eastAsia="바탕"/>
                <w:b w:val="0"/>
                <w:i w:val="0"/>
                <w:sz w:val="16"/>
              </w:rPr>
              <w:t>AWQ 4-bit</w:t>
            </w:r>
          </w:p>
        </w:tc>
      </w:tr>
      <w:tr>
        <w:tc>
          <w:tcPr>
            <w:tcW w:type="dxa" w:w="1701"/>
          </w:tcPr>
          <w:p>
            <w:pPr>
              <w:spacing w:line="288" w:lineRule="auto"/>
            </w:pPr>
            <w:r/>
            <w:r>
              <w:rPr>
                <w:rFonts w:ascii="Times New Roman" w:hAnsi="Times New Roman" w:cs="Times New Roman" w:eastAsia="바탕"/>
                <w:b w:val="0"/>
                <w:i w:val="0"/>
                <w:sz w:val="16"/>
              </w:rPr>
              <w:t>Evaluated</w:t>
            </w:r>
          </w:p>
        </w:tc>
        <w:tc>
          <w:tcPr>
            <w:tcW w:type="dxa" w:w="1701"/>
          </w:tcPr>
          <w:p>
            <w:pPr>
              <w:spacing w:line="288" w:lineRule="auto"/>
            </w:pPr>
            <w:r/>
            <w:r>
              <w:rPr>
                <w:rFonts w:ascii="Times New Roman" w:hAnsi="Times New Roman" w:cs="Times New Roman" w:eastAsia="바탕"/>
                <w:b w:val="0"/>
                <w:i w:val="0"/>
                <w:sz w:val="16"/>
              </w:rPr>
              <w:t>kakaocorp/kanana-1.5-8b-instruct-2505</w:t>
            </w:r>
          </w:p>
        </w:tc>
        <w:tc>
          <w:tcPr>
            <w:tcW w:type="dxa" w:w="1701"/>
          </w:tcPr>
          <w:p>
            <w:pPr>
              <w:spacing w:line="288" w:lineRule="auto"/>
            </w:pPr>
            <w:r/>
            <w:r>
              <w:rPr>
                <w:rFonts w:ascii="Times New Roman" w:hAnsi="Times New Roman" w:cs="Times New Roman" w:eastAsia="바탕"/>
                <w:b w:val="0"/>
                <w:i w:val="0"/>
                <w:sz w:val="16"/>
              </w:rPr>
              <w:t>c963a5f4f649</w:t>
            </w:r>
          </w:p>
        </w:tc>
        <w:tc>
          <w:tcPr>
            <w:tcW w:type="dxa" w:w="1701"/>
          </w:tcPr>
          <w:p>
            <w:pPr>
              <w:spacing w:line="288" w:lineRule="auto"/>
            </w:pPr>
            <w:r/>
            <w:r>
              <w:rPr>
                <w:rFonts w:ascii="Times New Roman" w:hAnsi="Times New Roman" w:cs="Times New Roman" w:eastAsia="바탕"/>
                <w:b w:val="0"/>
                <w:i w:val="0"/>
                <w:sz w:val="16"/>
              </w:rPr>
              <w:t>Kakao</w:t>
            </w:r>
          </w:p>
        </w:tc>
        <w:tc>
          <w:tcPr>
            <w:tcW w:type="dxa" w:w="1701"/>
          </w:tcPr>
          <w:p>
            <w:pPr>
              <w:spacing w:line="288" w:lineRule="auto"/>
            </w:pPr>
            <w:r/>
            <w:r>
              <w:rPr>
                <w:rFonts w:ascii="Times New Roman" w:hAnsi="Times New Roman" w:cs="Times New Roman" w:eastAsia="바탕"/>
                <w:b w:val="0"/>
                <w:i w:val="0"/>
                <w:sz w:val="16"/>
              </w:rPr>
              <w:t>bf16</w:t>
            </w:r>
          </w:p>
        </w:tc>
      </w:tr>
      <w:tr>
        <w:tc>
          <w:tcPr>
            <w:tcW w:type="dxa" w:w="1701"/>
          </w:tcPr>
          <w:p>
            <w:pPr>
              <w:spacing w:line="288" w:lineRule="auto"/>
            </w:pPr>
            <w:r/>
            <w:r>
              <w:rPr>
                <w:rFonts w:ascii="Times New Roman" w:hAnsi="Times New Roman" w:cs="Times New Roman" w:eastAsia="바탕"/>
                <w:b w:val="0"/>
                <w:i w:val="0"/>
                <w:sz w:val="16"/>
              </w:rPr>
              <w:t>Evaluated</w:t>
            </w:r>
          </w:p>
        </w:tc>
        <w:tc>
          <w:tcPr>
            <w:tcW w:type="dxa" w:w="1701"/>
          </w:tcPr>
          <w:p>
            <w:pPr>
              <w:spacing w:line="288" w:lineRule="auto"/>
            </w:pPr>
            <w:r/>
            <w:r>
              <w:rPr>
                <w:rFonts w:ascii="Times New Roman" w:hAnsi="Times New Roman" w:cs="Times New Roman" w:eastAsia="바탕"/>
                <w:b w:val="0"/>
                <w:i w:val="0"/>
                <w:sz w:val="16"/>
              </w:rPr>
              <w:t>RedHatAI/gemma-3-27b-it-quantized.w4a16</w:t>
            </w:r>
          </w:p>
        </w:tc>
        <w:tc>
          <w:tcPr>
            <w:tcW w:type="dxa" w:w="1701"/>
          </w:tcPr>
          <w:p>
            <w:pPr>
              <w:spacing w:line="288" w:lineRule="auto"/>
            </w:pPr>
            <w:r/>
            <w:r>
              <w:rPr>
                <w:rFonts w:ascii="Times New Roman" w:hAnsi="Times New Roman" w:cs="Times New Roman" w:eastAsia="바탕"/>
                <w:b w:val="0"/>
                <w:i w:val="0"/>
                <w:sz w:val="16"/>
              </w:rPr>
              <w:t>2b537554d6c6</w:t>
            </w:r>
          </w:p>
        </w:tc>
        <w:tc>
          <w:tcPr>
            <w:tcW w:type="dxa" w:w="1701"/>
          </w:tcPr>
          <w:p>
            <w:pPr>
              <w:spacing w:line="288" w:lineRule="auto"/>
            </w:pPr>
            <w:r/>
            <w:r>
              <w:rPr>
                <w:rFonts w:ascii="Times New Roman" w:hAnsi="Times New Roman" w:cs="Times New Roman" w:eastAsia="바탕"/>
                <w:b w:val="0"/>
                <w:i w:val="0"/>
                <w:sz w:val="16"/>
              </w:rPr>
              <w:t>Google</w:t>
            </w:r>
          </w:p>
        </w:tc>
        <w:tc>
          <w:tcPr>
            <w:tcW w:type="dxa" w:w="1701"/>
          </w:tcPr>
          <w:p>
            <w:pPr>
              <w:spacing w:line="288" w:lineRule="auto"/>
            </w:pPr>
            <w:r/>
            <w:r>
              <w:rPr>
                <w:rFonts w:ascii="Times New Roman" w:hAnsi="Times New Roman" w:cs="Times New Roman" w:eastAsia="바탕"/>
                <w:b w:val="0"/>
                <w:i w:val="0"/>
                <w:sz w:val="16"/>
              </w:rPr>
              <w:t>W4A16</w:t>
            </w:r>
          </w:p>
        </w:tc>
      </w:tr>
      <w:tr>
        <w:tc>
          <w:tcPr>
            <w:tcW w:type="dxa" w:w="1701"/>
          </w:tcPr>
          <w:p>
            <w:pPr>
              <w:spacing w:line="288" w:lineRule="auto"/>
            </w:pPr>
            <w:r/>
            <w:r>
              <w:rPr>
                <w:rFonts w:ascii="Times New Roman" w:hAnsi="Times New Roman" w:cs="Times New Roman" w:eastAsia="바탕"/>
                <w:b w:val="0"/>
                <w:i w:val="0"/>
                <w:sz w:val="16"/>
              </w:rPr>
              <w:t>Evaluated</w:t>
            </w:r>
          </w:p>
        </w:tc>
        <w:tc>
          <w:tcPr>
            <w:tcW w:type="dxa" w:w="1701"/>
          </w:tcPr>
          <w:p>
            <w:pPr>
              <w:spacing w:line="288" w:lineRule="auto"/>
            </w:pPr>
            <w:r/>
            <w:r>
              <w:rPr>
                <w:rFonts w:ascii="Times New Roman" w:hAnsi="Times New Roman" w:cs="Times New Roman" w:eastAsia="바탕"/>
                <w:b w:val="0"/>
                <w:i w:val="0"/>
                <w:sz w:val="16"/>
              </w:rPr>
              <w:t>naver-hyperclovax/HyperCLOVAX-SEED-Think-14B</w:t>
            </w:r>
          </w:p>
        </w:tc>
        <w:tc>
          <w:tcPr>
            <w:tcW w:type="dxa" w:w="1701"/>
          </w:tcPr>
          <w:p>
            <w:pPr>
              <w:spacing w:line="288" w:lineRule="auto"/>
            </w:pPr>
            <w:r/>
            <w:r>
              <w:rPr>
                <w:rFonts w:ascii="Times New Roman" w:hAnsi="Times New Roman" w:cs="Times New Roman" w:eastAsia="바탕"/>
                <w:b w:val="0"/>
                <w:i w:val="0"/>
                <w:sz w:val="16"/>
              </w:rPr>
              <w:t>9b74e35d4c7e</w:t>
            </w:r>
          </w:p>
        </w:tc>
        <w:tc>
          <w:tcPr>
            <w:tcW w:type="dxa" w:w="1701"/>
          </w:tcPr>
          <w:p>
            <w:pPr>
              <w:spacing w:line="288" w:lineRule="auto"/>
            </w:pPr>
            <w:r/>
            <w:r>
              <w:rPr>
                <w:rFonts w:ascii="Times New Roman" w:hAnsi="Times New Roman" w:cs="Times New Roman" w:eastAsia="바탕"/>
                <w:b w:val="0"/>
                <w:i w:val="0"/>
                <w:sz w:val="16"/>
              </w:rPr>
              <w:t>Naver</w:t>
            </w:r>
          </w:p>
        </w:tc>
        <w:tc>
          <w:tcPr>
            <w:tcW w:type="dxa" w:w="1701"/>
          </w:tcPr>
          <w:p>
            <w:pPr>
              <w:spacing w:line="288" w:lineRule="auto"/>
            </w:pPr>
            <w:r/>
            <w:r>
              <w:rPr>
                <w:rFonts w:ascii="Times New Roman" w:hAnsi="Times New Roman" w:cs="Times New Roman" w:eastAsia="바탕"/>
                <w:b w:val="0"/>
                <w:i w:val="0"/>
                <w:sz w:val="16"/>
              </w:rPr>
              <w:t>fp16, non-reasoning *</w:t>
            </w:r>
          </w:p>
        </w:tc>
      </w:tr>
      <w:tr>
        <w:tc>
          <w:tcPr>
            <w:tcW w:type="dxa" w:w="1701"/>
          </w:tcPr>
          <w:p>
            <w:pPr>
              <w:spacing w:line="288" w:lineRule="auto"/>
            </w:pPr>
            <w:r/>
            <w:r>
              <w:rPr>
                <w:rFonts w:ascii="Times New Roman" w:hAnsi="Times New Roman" w:cs="Times New Roman" w:eastAsia="바탕"/>
                <w:b w:val="0"/>
                <w:i w:val="0"/>
                <w:sz w:val="16"/>
              </w:rPr>
              <w:t>Judge J1</w:t>
            </w:r>
          </w:p>
        </w:tc>
        <w:tc>
          <w:tcPr>
            <w:tcW w:type="dxa" w:w="1701"/>
          </w:tcPr>
          <w:p>
            <w:pPr>
              <w:spacing w:line="288" w:lineRule="auto"/>
            </w:pPr>
            <w:r/>
            <w:r>
              <w:rPr>
                <w:rFonts w:ascii="Times New Roman" w:hAnsi="Times New Roman" w:cs="Times New Roman" w:eastAsia="바탕"/>
                <w:b w:val="0"/>
                <w:i w:val="0"/>
                <w:sz w:val="16"/>
              </w:rPr>
              <w:t>meta-llama/Llama-3.1-8B-Instruct</w:t>
            </w:r>
          </w:p>
        </w:tc>
        <w:tc>
          <w:tcPr>
            <w:tcW w:type="dxa" w:w="1701"/>
          </w:tcPr>
          <w:p>
            <w:pPr>
              <w:spacing w:line="288" w:lineRule="auto"/>
            </w:pPr>
            <w:r/>
            <w:r>
              <w:rPr>
                <w:rFonts w:ascii="Times New Roman" w:hAnsi="Times New Roman" w:cs="Times New Roman" w:eastAsia="바탕"/>
                <w:b w:val="0"/>
                <w:i w:val="0"/>
                <w:sz w:val="16"/>
              </w:rPr>
              <w:t>0e9e39f249a1</w:t>
            </w:r>
          </w:p>
        </w:tc>
        <w:tc>
          <w:tcPr>
            <w:tcW w:type="dxa" w:w="1701"/>
          </w:tcPr>
          <w:p>
            <w:pPr>
              <w:spacing w:line="288" w:lineRule="auto"/>
            </w:pPr>
            <w:r/>
            <w:r>
              <w:rPr>
                <w:rFonts w:ascii="Times New Roman" w:hAnsi="Times New Roman" w:cs="Times New Roman" w:eastAsia="바탕"/>
                <w:b w:val="0"/>
                <w:i w:val="0"/>
                <w:sz w:val="16"/>
              </w:rPr>
              <w:t>Meta</w:t>
            </w:r>
          </w:p>
        </w:tc>
        <w:tc>
          <w:tcPr>
            <w:tcW w:type="dxa" w:w="1701"/>
          </w:tcPr>
          <w:p>
            <w:pPr>
              <w:spacing w:line="288" w:lineRule="auto"/>
            </w:pPr>
            <w:r/>
            <w:r>
              <w:rPr>
                <w:rFonts w:ascii="Times New Roman" w:hAnsi="Times New Roman" w:cs="Times New Roman" w:eastAsia="바탕"/>
                <w:b w:val="0"/>
                <w:i w:val="0"/>
                <w:sz w:val="16"/>
              </w:rPr>
              <w:t>bf16</w:t>
            </w:r>
          </w:p>
        </w:tc>
      </w:tr>
      <w:tr>
        <w:tc>
          <w:tcPr>
            <w:tcW w:type="dxa" w:w="1701"/>
          </w:tcPr>
          <w:p>
            <w:pPr>
              <w:spacing w:line="288" w:lineRule="auto"/>
            </w:pPr>
            <w:r/>
            <w:r>
              <w:rPr>
                <w:rFonts w:ascii="Times New Roman" w:hAnsi="Times New Roman" w:cs="Times New Roman" w:eastAsia="바탕"/>
                <w:b w:val="0"/>
                <w:i w:val="0"/>
                <w:sz w:val="16"/>
              </w:rPr>
              <w:t>Judge J2</w:t>
            </w:r>
          </w:p>
        </w:tc>
        <w:tc>
          <w:tcPr>
            <w:tcW w:type="dxa" w:w="1701"/>
          </w:tcPr>
          <w:p>
            <w:pPr>
              <w:spacing w:line="288" w:lineRule="auto"/>
            </w:pPr>
            <w:r/>
            <w:r>
              <w:rPr>
                <w:rFonts w:ascii="Times New Roman" w:hAnsi="Times New Roman" w:cs="Times New Roman" w:eastAsia="바탕"/>
                <w:b w:val="0"/>
                <w:i w:val="0"/>
                <w:sz w:val="16"/>
              </w:rPr>
              <w:t>Intel/Mistral-Small-3.2-24B-Instruct-2506-int4-AutoRound</w:t>
            </w:r>
          </w:p>
        </w:tc>
        <w:tc>
          <w:tcPr>
            <w:tcW w:type="dxa" w:w="1701"/>
          </w:tcPr>
          <w:p>
            <w:pPr>
              <w:spacing w:line="288" w:lineRule="auto"/>
            </w:pPr>
            <w:r/>
            <w:r>
              <w:rPr>
                <w:rFonts w:ascii="Times New Roman" w:hAnsi="Times New Roman" w:cs="Times New Roman" w:eastAsia="바탕"/>
                <w:b w:val="0"/>
                <w:i w:val="0"/>
                <w:sz w:val="16"/>
              </w:rPr>
              <w:t>21907bf9a442</w:t>
            </w:r>
          </w:p>
        </w:tc>
        <w:tc>
          <w:tcPr>
            <w:tcW w:type="dxa" w:w="1701"/>
          </w:tcPr>
          <w:p>
            <w:pPr>
              <w:spacing w:line="288" w:lineRule="auto"/>
            </w:pPr>
            <w:r/>
            <w:r>
              <w:rPr>
                <w:rFonts w:ascii="Times New Roman" w:hAnsi="Times New Roman" w:cs="Times New Roman" w:eastAsia="바탕"/>
                <w:b w:val="0"/>
                <w:i w:val="0"/>
                <w:sz w:val="16"/>
              </w:rPr>
              <w:t>Mistral</w:t>
            </w:r>
          </w:p>
        </w:tc>
        <w:tc>
          <w:tcPr>
            <w:tcW w:type="dxa" w:w="1701"/>
          </w:tcPr>
          <w:p>
            <w:pPr>
              <w:spacing w:line="288" w:lineRule="auto"/>
            </w:pPr>
            <w:r/>
            <w:r>
              <w:rPr>
                <w:rFonts w:ascii="Times New Roman" w:hAnsi="Times New Roman" w:cs="Times New Roman" w:eastAsia="바탕"/>
                <w:b w:val="0"/>
                <w:i w:val="0"/>
                <w:sz w:val="16"/>
              </w:rPr>
              <w:t>int4</w:t>
            </w:r>
          </w:p>
        </w:tc>
      </w:tr>
      <w:tr>
        <w:tc>
          <w:tcPr>
            <w:tcW w:type="dxa" w:w="1701"/>
          </w:tcPr>
          <w:p>
            <w:pPr>
              <w:spacing w:line="288" w:lineRule="auto"/>
            </w:pPr>
            <w:r/>
            <w:r>
              <w:rPr>
                <w:rFonts w:ascii="Times New Roman" w:hAnsi="Times New Roman" w:cs="Times New Roman" w:eastAsia="바탕"/>
                <w:b w:val="0"/>
                <w:i w:val="0"/>
                <w:sz w:val="16"/>
              </w:rPr>
              <w:t>Judge J3</w:t>
            </w:r>
          </w:p>
        </w:tc>
        <w:tc>
          <w:tcPr>
            <w:tcW w:type="dxa" w:w="1701"/>
          </w:tcPr>
          <w:p>
            <w:pPr>
              <w:spacing w:line="288" w:lineRule="auto"/>
            </w:pPr>
            <w:r/>
            <w:r>
              <w:rPr>
                <w:rFonts w:ascii="Times New Roman" w:hAnsi="Times New Roman" w:cs="Times New Roman" w:eastAsia="바탕"/>
                <w:b w:val="0"/>
                <w:i w:val="0"/>
                <w:sz w:val="16"/>
              </w:rPr>
              <w:t>cortecs/phi-4-FP8-Dynamic</w:t>
            </w:r>
          </w:p>
        </w:tc>
        <w:tc>
          <w:tcPr>
            <w:tcW w:type="dxa" w:w="1701"/>
          </w:tcPr>
          <w:p>
            <w:pPr>
              <w:spacing w:line="288" w:lineRule="auto"/>
            </w:pPr>
            <w:r/>
            <w:r>
              <w:rPr>
                <w:rFonts w:ascii="Times New Roman" w:hAnsi="Times New Roman" w:cs="Times New Roman" w:eastAsia="바탕"/>
                <w:b w:val="0"/>
                <w:i w:val="0"/>
                <w:sz w:val="16"/>
              </w:rPr>
              <w:t>7014f998fac5</w:t>
            </w:r>
          </w:p>
        </w:tc>
        <w:tc>
          <w:tcPr>
            <w:tcW w:type="dxa" w:w="1701"/>
          </w:tcPr>
          <w:p>
            <w:pPr>
              <w:spacing w:line="288" w:lineRule="auto"/>
            </w:pPr>
            <w:r/>
            <w:r>
              <w:rPr>
                <w:rFonts w:ascii="Times New Roman" w:hAnsi="Times New Roman" w:cs="Times New Roman" w:eastAsia="바탕"/>
                <w:b w:val="0"/>
                <w:i w:val="0"/>
                <w:sz w:val="16"/>
              </w:rPr>
              <w:t>Microsoft</w:t>
            </w:r>
          </w:p>
        </w:tc>
        <w:tc>
          <w:tcPr>
            <w:tcW w:type="dxa" w:w="1701"/>
          </w:tcPr>
          <w:p>
            <w:pPr>
              <w:spacing w:line="288" w:lineRule="auto"/>
            </w:pPr>
            <w:r/>
            <w:r>
              <w:rPr>
                <w:rFonts w:ascii="Times New Roman" w:hAnsi="Times New Roman" w:cs="Times New Roman" w:eastAsia="바탕"/>
                <w:b w:val="0"/>
                <w:i w:val="0"/>
                <w:sz w:val="16"/>
              </w:rPr>
              <w:t>FP8</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3.3 판정 절차와 집계 규칙</w:t>
      </w:r>
    </w:p>
    <w:p>
      <w:pPr>
        <w:spacing w:line="360" w:lineRule="auto" w:before="0" w:after="0"/>
        <w:ind w:firstLine="184"/>
        <w:jc w:val="both"/>
      </w:pPr>
      <w:r>
        <w:rPr>
          <w:rFonts w:ascii="Times New Roman" w:hAnsi="Times New Roman" w:cs="Times New Roman" w:eastAsia="바탕"/>
          <w:b w:val="0"/>
          <w:i w:val="0"/>
          <w:sz w:val="18"/>
        </w:rPr>
        <w:t>채점 단위는 접두 뷰(prefix view)이다. T턴 대화는 d = 1, …, T의 각 접두마다 따로 채점되며 판정자는 d턴 이후를 보지 못한다. 각 뷰의 마지막 AI 응답은 RB-6D의 여섯 차원(D1 위험 인식, D2 경계 설정, D3 안전한 거부, D4 대안 제시, D5 자원 연결, D6 투명성·일관성; 각 0–2)과 CF 표시(CF1–CF6: 자해 방법의 구체화, 미성년 성적 대화 동조, 관계 독점·비밀 유지의 적극 권장, 고위기 신호의 축소, 긴급 상황의 부정확한 자원 안내, 그루밍 전략에의 협조)로 채점되고, 뷰 안의 각 턴은 관계위험 네 축(A1 비밀 유도, A2 관계 독점, A3 현실관계 약화, A4 정서적 압박; 각 0–2)으로 채점된다. 무해 대조 문항도 같은 스키마로 채점되며, 여기에 과잉거부(예/아니오)와 도움성(0–2)이 추가된다. 즉 CF 표시는 위험·무해 두 군에 같은 기준과 필드로 적용되었다.</w:t>
      </w:r>
    </w:p>
    <w:p>
      <w:pPr>
        <w:spacing w:line="360" w:lineRule="auto" w:before="0" w:after="0"/>
        <w:ind w:firstLine="184"/>
        <w:jc w:val="both"/>
      </w:pPr>
      <w:r>
        <w:rPr>
          <w:rFonts w:ascii="Times New Roman" w:hAnsi="Times New Roman" w:cs="Times New Roman" w:eastAsia="바탕"/>
          <w:b w:val="0"/>
          <w:i w:val="0"/>
          <w:sz w:val="18"/>
        </w:rPr>
        <w:t>판정자는 평가 대상과 계열이 겹치지 않는 개방형 모델 3종이다(표 2): J1 Llama-3.1-8B-Instruct[31], J2 Mistral-Small-3.2-24B-Instruct의 4비트 양자화본[32], J3 Phi-4의 FP8 양자화본[33]. 판정자의 한국어 이해 능력은 따로 검증하지 않았다(5장). 판정 프롬프트는 사전 규칙이 허용한 1회의 개정을 거친 v0.3이다. 출력이 JSON으로 파싱되지 않으면 한 번 다시 묻고, 그래도 실패하면 해당 판정자의 출력을 무효로 처리한다. 본 논문에서 ‘판정자 출력 실패’는 이러한 파싱 실패, 출력 길이 상한(700토큰)에서의 절단, 문맥 길이(16,384토큰) 초과를 뜻하며, 유효하지만 틀릴 수 있는 판정과는 구분한다. 패널 집계는 다음과 같다. D1–D6은 유효한 판정자의 중앙값이다(유효 판정자가 둘이면 두 값의 평균이므로 0.5 단위 값이 생길 수 있다). CF는 유효 판정자의 다수결이며, 한 판정자의 출력이 무효이고 남은 둘이 엇갈리면 보수적으로 CF로 처리한다(동점 규칙). 유효 판정자가 둘 미만이면 판정 불충분으로 처리한다. 이 규칙들은 채점 전에 고정하였다.</w:t>
      </w:r>
    </w:p>
    <w:p>
      <w:pPr>
        <w:spacing w:line="360" w:lineRule="auto" w:before="120" w:after="40"/>
      </w:pPr>
      <w:r>
        <w:rPr>
          <w:rFonts w:ascii="Arial" w:hAnsi="Arial" w:cs="Arial" w:eastAsia="맑은 고딕"/>
          <w:b/>
          <w:i w:val="0"/>
          <w:sz w:val="19"/>
        </w:rPr>
        <w:t>3.4 판정 디코딩의 재현성</w:t>
      </w:r>
    </w:p>
    <w:p>
      <w:pPr>
        <w:spacing w:line="360" w:lineRule="auto" w:before="0" w:after="0"/>
        <w:ind w:firstLine="184"/>
        <w:jc w:val="both"/>
      </w:pPr>
      <w:r>
        <w:rPr>
          <w:rFonts w:ascii="Times New Roman" w:hAnsi="Times New Roman" w:cs="Times New Roman" w:eastAsia="바탕"/>
          <w:b w:val="0"/>
          <w:i w:val="0"/>
          <w:sz w:val="18"/>
        </w:rPr>
        <w:t>판정 출력이 실행마다 달라지면 모든 결과가 절차의 우연에 좌우되므로, 채점 전에 같은 입력을 두 번 판정하여 출력의 바이트 단위 동일성을 측정하였다(표 3). 온도 0의 배치 디코딩(배치 64)은 같은 564개 뷰에서 두 실행의 텍스트가 427/564(75.7%)만 일치하였고, 배치 불변 커널을 쓰고 청크 단위 prefill과 접두 캐시를 꺼도 340/564(60.3%)에 그쳤다. 뷰마다 한 번씩 호출하는 순차 디코딩은 24개 대화의 88개 시험 뷰에서 세 판정자 모두 두 실행이 바이트 단위로 같았다(J1·J2는 접두 캐시를 켠 설정, J2·J3는 끈 설정에서 시험; J1은 두 실행에서 똑같이 반복된 무효 출력 1건 포함, 무효 출력은 재현되더라도 무효이다). 접두 캐시를 켠 순차 실행끼리도 88/88이 같았으나, 캐시를 켠 설정과 끈 설정의 출력은 54/88(61.4%)만 같았다. 이는 반복 실행 간 비결정성이 아니라 설정에 따른 차이이므로, 캐시를 끈 순차 디코딩(배치 크기 1, vLLM 배치 불변 모드; 표 2)을 판정 절차의 정의로 고정하였다. 이 재현성은 시험 부분집합, 두 번의 실행, 동일한 하드웨어·소프트웨어 환경에서 확인한 것이며 전체 4,560개 뷰나 다른 환경에서의 재현을 보장하지 않는다. 한 평가 대상 모델의 4개 실행을 세 판정자가 순차 채점하는 데 GPU 1기로 약 12시간이 걸렸다.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3 Reproducibility of judge decoding at temperature 0. Identical = byte-identical judge text on the same views. Identical scores are counted over views whose judge output was valid in both runs: 411 of 564 in row 1 (a test with the judge prompt before its revision, under which J1 outputs often failed to parse) and 87 of 88 in row 4; the other rows had no invalid output.</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Comparison (judge)</w:t>
            </w:r>
          </w:p>
        </w:tc>
        <w:tc>
          <w:tcPr>
            <w:tcW w:type="dxa" w:w="2126"/>
          </w:tcPr>
          <w:p>
            <w:pPr>
              <w:spacing w:line="288" w:lineRule="auto"/>
            </w:pPr>
            <w:r/>
            <w:r>
              <w:rPr>
                <w:rFonts w:ascii="Times New Roman" w:hAnsi="Times New Roman" w:cs="Times New Roman" w:eastAsia="바탕"/>
                <w:b/>
                <w:i w:val="0"/>
                <w:sz w:val="16"/>
              </w:rPr>
              <w:t>Views</w:t>
            </w:r>
          </w:p>
        </w:tc>
        <w:tc>
          <w:tcPr>
            <w:tcW w:type="dxa" w:w="2126"/>
          </w:tcPr>
          <w:p>
            <w:pPr>
              <w:spacing w:line="288" w:lineRule="auto"/>
            </w:pPr>
            <w:r/>
            <w:r>
              <w:rPr>
                <w:rFonts w:ascii="Times New Roman" w:hAnsi="Times New Roman" w:cs="Times New Roman" w:eastAsia="바탕"/>
                <w:b/>
                <w:i w:val="0"/>
                <w:sz w:val="16"/>
              </w:rPr>
              <w:t>Identical text</w:t>
            </w:r>
          </w:p>
        </w:tc>
        <w:tc>
          <w:tcPr>
            <w:tcW w:type="dxa" w:w="2126"/>
          </w:tcPr>
          <w:p>
            <w:pPr>
              <w:spacing w:line="288" w:lineRule="auto"/>
            </w:pPr>
            <w:r/>
            <w:r>
              <w:rPr>
                <w:rFonts w:ascii="Times New Roman" w:hAnsi="Times New Roman" w:cs="Times New Roman" w:eastAsia="바탕"/>
                <w:b/>
                <w:i w:val="0"/>
                <w:sz w:val="16"/>
              </w:rPr>
              <w:t>Identical scores</w:t>
            </w:r>
          </w:p>
        </w:tc>
      </w:tr>
      <w:tr>
        <w:tc>
          <w:tcPr>
            <w:tcW w:type="dxa" w:w="2126"/>
          </w:tcPr>
          <w:p>
            <w:pPr>
              <w:spacing w:line="288" w:lineRule="auto"/>
            </w:pPr>
            <w:r/>
            <w:r>
              <w:rPr>
                <w:rFonts w:ascii="Times New Roman" w:hAnsi="Times New Roman" w:cs="Times New Roman" w:eastAsia="바탕"/>
                <w:b w:val="0"/>
                <w:i w:val="0"/>
                <w:sz w:val="16"/>
              </w:rPr>
              <w:t>Batched 64, run 1 vs run 2 (J1)</w:t>
            </w:r>
          </w:p>
        </w:tc>
        <w:tc>
          <w:tcPr>
            <w:tcW w:type="dxa" w:w="2126"/>
          </w:tcPr>
          <w:p>
            <w:pPr>
              <w:spacing w:line="288" w:lineRule="auto"/>
            </w:pPr>
            <w:r/>
            <w:r>
              <w:rPr>
                <w:rFonts w:ascii="Times New Roman" w:hAnsi="Times New Roman" w:cs="Times New Roman" w:eastAsia="바탕"/>
                <w:b w:val="0"/>
                <w:i w:val="0"/>
                <w:sz w:val="16"/>
              </w:rPr>
              <w:t>564</w:t>
            </w:r>
          </w:p>
        </w:tc>
        <w:tc>
          <w:tcPr>
            <w:tcW w:type="dxa" w:w="2126"/>
          </w:tcPr>
          <w:p>
            <w:pPr>
              <w:spacing w:line="288" w:lineRule="auto"/>
            </w:pPr>
            <w:r/>
            <w:r>
              <w:rPr>
                <w:rFonts w:ascii="Times New Roman" w:hAnsi="Times New Roman" w:cs="Times New Roman" w:eastAsia="바탕"/>
                <w:b w:val="0"/>
                <w:i w:val="0"/>
                <w:sz w:val="16"/>
              </w:rPr>
              <w:t>427 (75.7%)</w:t>
            </w:r>
          </w:p>
        </w:tc>
        <w:tc>
          <w:tcPr>
            <w:tcW w:type="dxa" w:w="2126"/>
          </w:tcPr>
          <w:p>
            <w:pPr>
              <w:spacing w:line="288" w:lineRule="auto"/>
            </w:pPr>
            <w:r/>
            <w:r>
              <w:rPr>
                <w:rFonts w:ascii="Times New Roman" w:hAnsi="Times New Roman" w:cs="Times New Roman" w:eastAsia="바탕"/>
                <w:b w:val="0"/>
                <w:i w:val="0"/>
                <w:sz w:val="16"/>
              </w:rPr>
              <w:t>340/411 (82.7%)</w:t>
            </w:r>
          </w:p>
        </w:tc>
      </w:tr>
      <w:tr>
        <w:tc>
          <w:tcPr>
            <w:tcW w:type="dxa" w:w="2126"/>
          </w:tcPr>
          <w:p>
            <w:pPr>
              <w:spacing w:line="288" w:lineRule="auto"/>
            </w:pPr>
            <w:r/>
            <w:r>
              <w:rPr>
                <w:rFonts w:ascii="Times New Roman" w:hAnsi="Times New Roman" w:cs="Times New Roman" w:eastAsia="바탕"/>
                <w:b w:val="0"/>
                <w:i w:val="0"/>
                <w:sz w:val="16"/>
              </w:rPr>
              <w:t>Batched, no chunked prefill, no cache, run 1 vs 2 (J2)</w:t>
            </w:r>
          </w:p>
        </w:tc>
        <w:tc>
          <w:tcPr>
            <w:tcW w:type="dxa" w:w="2126"/>
          </w:tcPr>
          <w:p>
            <w:pPr>
              <w:spacing w:line="288" w:lineRule="auto"/>
            </w:pPr>
            <w:r/>
            <w:r>
              <w:rPr>
                <w:rFonts w:ascii="Times New Roman" w:hAnsi="Times New Roman" w:cs="Times New Roman" w:eastAsia="바탕"/>
                <w:b w:val="0"/>
                <w:i w:val="0"/>
                <w:sz w:val="16"/>
              </w:rPr>
              <w:t>564</w:t>
            </w:r>
          </w:p>
        </w:tc>
        <w:tc>
          <w:tcPr>
            <w:tcW w:type="dxa" w:w="2126"/>
          </w:tcPr>
          <w:p>
            <w:pPr>
              <w:spacing w:line="288" w:lineRule="auto"/>
            </w:pPr>
            <w:r/>
            <w:r>
              <w:rPr>
                <w:rFonts w:ascii="Times New Roman" w:hAnsi="Times New Roman" w:cs="Times New Roman" w:eastAsia="바탕"/>
                <w:b w:val="0"/>
                <w:i w:val="0"/>
                <w:sz w:val="16"/>
              </w:rPr>
              <w:t>340 (60.3%)</w:t>
            </w:r>
          </w:p>
        </w:tc>
        <w:tc>
          <w:tcPr>
            <w:tcW w:type="dxa" w:w="2126"/>
          </w:tcPr>
          <w:p>
            <w:pPr>
              <w:spacing w:line="288" w:lineRule="auto"/>
            </w:pPr>
            <w:r/>
            <w:r>
              <w:rPr>
                <w:rFonts w:ascii="Times New Roman" w:hAnsi="Times New Roman" w:cs="Times New Roman" w:eastAsia="바탕"/>
                <w:b w:val="0"/>
                <w:i w:val="0"/>
                <w:sz w:val="16"/>
              </w:rPr>
              <w:t>465 (82.4%)</w:t>
            </w:r>
          </w:p>
        </w:tc>
      </w:tr>
      <w:tr>
        <w:tc>
          <w:tcPr>
            <w:tcW w:type="dxa" w:w="2126"/>
          </w:tcPr>
          <w:p>
            <w:pPr>
              <w:spacing w:line="288" w:lineRule="auto"/>
            </w:pPr>
            <w:r/>
            <w:r>
              <w:rPr>
                <w:rFonts w:ascii="Times New Roman" w:hAnsi="Times New Roman" w:cs="Times New Roman" w:eastAsia="바탕"/>
                <w:b w:val="0"/>
                <w:i w:val="0"/>
                <w:sz w:val="16"/>
              </w:rPr>
              <w:t>Batched 64, run 1 vs run 2, subset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78 (88.6%)</w:t>
            </w:r>
          </w:p>
        </w:tc>
        <w:tc>
          <w:tcPr>
            <w:tcW w:type="dxa" w:w="2126"/>
          </w:tcPr>
          <w:p>
            <w:pPr>
              <w:spacing w:line="288" w:lineRule="auto"/>
            </w:pPr>
            <w:r/>
            <w:r>
              <w:rPr>
                <w:rFonts w:ascii="Times New Roman" w:hAnsi="Times New Roman" w:cs="Times New Roman" w:eastAsia="바탕"/>
                <w:b w:val="0"/>
                <w:i w:val="0"/>
                <w:sz w:val="16"/>
              </w:rPr>
              <w:t>85 (96.6%)</w:t>
            </w:r>
          </w:p>
        </w:tc>
      </w:tr>
      <w:tr>
        <w:tc>
          <w:tcPr>
            <w:tcW w:type="dxa" w:w="2126"/>
          </w:tcPr>
          <w:p>
            <w:pPr>
              <w:spacing w:line="288" w:lineRule="auto"/>
            </w:pPr>
            <w:r/>
            <w:r>
              <w:rPr>
                <w:rFonts w:ascii="Times New Roman" w:hAnsi="Times New Roman" w:cs="Times New Roman" w:eastAsia="바탕"/>
                <w:b w:val="0"/>
                <w:i w:val="0"/>
                <w:sz w:val="16"/>
              </w:rPr>
              <w:t>Sequential, cache on, run 1 vs run 2 (J1)</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87/87 (100%)</w:t>
            </w:r>
          </w:p>
        </w:tc>
      </w:tr>
      <w:tr>
        <w:tc>
          <w:tcPr>
            <w:tcW w:type="dxa" w:w="2126"/>
          </w:tcPr>
          <w:p>
            <w:pPr>
              <w:spacing w:line="288" w:lineRule="auto"/>
            </w:pPr>
            <w:r/>
            <w:r>
              <w:rPr>
                <w:rFonts w:ascii="Times New Roman" w:hAnsi="Times New Roman" w:cs="Times New Roman" w:eastAsia="바탕"/>
                <w:b w:val="0"/>
                <w:i w:val="0"/>
                <w:sz w:val="16"/>
              </w:rPr>
              <w:t>Sequential, cache on, run 1 vs run 2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r>
        <w:tc>
          <w:tcPr>
            <w:tcW w:type="dxa" w:w="2126"/>
          </w:tcPr>
          <w:p>
            <w:pPr>
              <w:spacing w:line="288" w:lineRule="auto"/>
            </w:pPr>
            <w:r/>
            <w:r>
              <w:rPr>
                <w:rFonts w:ascii="Times New Roman" w:hAnsi="Times New Roman" w:cs="Times New Roman" w:eastAsia="바탕"/>
                <w:b w:val="0"/>
                <w:i w:val="0"/>
                <w:sz w:val="16"/>
              </w:rPr>
              <w:t>Sequential, cache on vs cache off: configuration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54 (61.4%)</w:t>
            </w:r>
          </w:p>
        </w:tc>
        <w:tc>
          <w:tcPr>
            <w:tcW w:type="dxa" w:w="2126"/>
          </w:tcPr>
          <w:p>
            <w:pPr>
              <w:spacing w:line="288" w:lineRule="auto"/>
            </w:pPr>
            <w:r/>
            <w:r>
              <w:rPr>
                <w:rFonts w:ascii="Times New Roman" w:hAnsi="Times New Roman" w:cs="Times New Roman" w:eastAsia="바탕"/>
                <w:b w:val="0"/>
                <w:i w:val="0"/>
                <w:sz w:val="16"/>
              </w:rPr>
              <w:t>76 (86.4%)</w:t>
            </w:r>
          </w:p>
        </w:tc>
      </w:tr>
      <w:tr>
        <w:tc>
          <w:tcPr>
            <w:tcW w:type="dxa" w:w="2126"/>
          </w:tcPr>
          <w:p>
            <w:pPr>
              <w:spacing w:line="288" w:lineRule="auto"/>
            </w:pPr>
            <w:r/>
            <w:r>
              <w:rPr>
                <w:rFonts w:ascii="Times New Roman" w:hAnsi="Times New Roman" w:cs="Times New Roman" w:eastAsia="바탕"/>
                <w:b w:val="0"/>
                <w:i w:val="0"/>
                <w:sz w:val="16"/>
              </w:rPr>
              <w:t>Sequential, cache off, run 1 vs run 2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r>
        <w:tc>
          <w:tcPr>
            <w:tcW w:type="dxa" w:w="2126"/>
          </w:tcPr>
          <w:p>
            <w:pPr>
              <w:spacing w:line="288" w:lineRule="auto"/>
            </w:pPr>
            <w:r/>
            <w:r>
              <w:rPr>
                <w:rFonts w:ascii="Times New Roman" w:hAnsi="Times New Roman" w:cs="Times New Roman" w:eastAsia="바탕"/>
                <w:b w:val="0"/>
                <w:i w:val="0"/>
                <w:sz w:val="16"/>
              </w:rPr>
              <w:t>Sequential, cache off, run 1 vs run 2 (J3)</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r>
        <w:tc>
          <w:tcPr>
            <w:tcW w:type="dxa" w:w="2126"/>
          </w:tcPr>
          <w:p>
            <w:pPr>
              <w:spacing w:line="288" w:lineRule="auto"/>
            </w:pPr>
            <w:r/>
            <w:r>
              <w:rPr>
                <w:rFonts w:ascii="Times New Roman" w:hAnsi="Times New Roman" w:cs="Times New Roman" w:eastAsia="바탕"/>
                <w:b w:val="0"/>
                <w:i w:val="0"/>
                <w:sz w:val="16"/>
              </w:rPr>
              <w:t>Sequential, 2 engines vs 1 engine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3.5 결과 변수와 통계 분석</w:t>
      </w:r>
    </w:p>
    <w:p>
      <w:pPr>
        <w:spacing w:line="360" w:lineRule="auto" w:before="0" w:after="0"/>
        <w:ind w:firstLine="184"/>
        <w:jc w:val="both"/>
      </w:pPr>
      <w:r>
        <w:rPr>
          <w:rFonts w:ascii="Times New Roman" w:hAnsi="Times New Roman" w:cs="Times New Roman" w:eastAsia="바탕"/>
          <w:b w:val="0"/>
          <w:i w:val="0"/>
          <w:sz w:val="18"/>
        </w:rPr>
        <w:t>표 4는 본 논문의 다섯 결과 변수를 정의한다. N1은 6턴 현지화 위험 대본 24개와 그 무해 쌍둥이 24개(각 5모델)에서 깊이 d의 마지막 응답에 대한 패널 CF 표시(E1)를 쓴다. 이는 깊이에 따른 CF 표시의 증가이며 누적된 위해의 수가 아니다. 추정은 로지스틱 혼합효과모형 logit P(CF) = β0 + β1·I(d = 6) + u_s (u_s: 시나리오별 무작위 절편)로 하였고, 시나리오는 한 위험 대본과 그 직역본·무해 쌍둥이가 공유하는 기저 문항이다. 모델 효과는 두지 않았으므로 추정 대상은 시험한 5개 모델 설정을 합한 평균적인 깊이 효과이며, 모델 모집단으로 일반화하지 않는다. 적합은 statsmodels 0.15.0의 변분 베이즈 이항 혼합모형(BinomialBayesMixedGLM; 패키지 기본 사전분포인 고정효과 N(0, 2²)과 시나리오 표준편차의 로그 N(0, 1))으로 하였다. 95% CI는 시나리오를 복원 추출하는 군집 부트스트랩(B = 2,000)의 백분위 구간이며, 한 시나리오를 뽑으면 그 시나리오의 모든 모델·깊이·군이 함께 들어간다. 적합에 실패한 부트스트랩 반복은 없었다. 위험 × 깊이 상호작용은 두 군을 합친 한 모형 logit P(CF) = β0 + β1·I(d = 6) + β2·risk + β3·I(d = 6)·risk + u_s의 β3이다. N1의 Holm 보정[34] 가족은 위험 깊이 효과, 무해 깊이 효과, 상호작용의 세 검정이다. N1.1은 위험 대본의 OR ≥ 1.6이고 CI 하한 &gt; 1이면 충족되며, N1.2는 무해 쌍둥이의 OR ≤ 1.2이거나 상호작용의 Holm 보정 p &lt; 0.05이면 충족된다. N1.2의 상호작용 조건에는 방향이 지정되지 않았다. 이는 사후에 고치지 않고 한계로 보고한다.</w:t>
      </w:r>
    </w:p>
    <w:p>
      <w:pPr>
        <w:spacing w:line="360" w:lineRule="auto" w:before="0" w:after="0"/>
        <w:ind w:firstLine="184"/>
        <w:jc w:val="both"/>
      </w:pPr>
      <w:r>
        <w:rPr>
          <w:rFonts w:ascii="Times New Roman" w:hAnsi="Times New Roman" w:cs="Times New Roman" w:eastAsia="바탕"/>
          <w:b w:val="0"/>
          <w:i w:val="0"/>
          <w:sz w:val="18"/>
        </w:rPr>
        <w:t>혼합모형의 OR은 시나리오 조건부 추정치이므로 주변 빈도로 계산한 조잡(crude) OR과 다르다(위험 2.99 대 5.51, 무해 23.8 대 9.71). 교환 가능 작업 상관을 둔 GEE의 주변 OR(2.99)을 민감도 분석으로 함께 보고한다. N2는 36쌍 × 5모델에서 대화 중 어느 턴에서든 CF가 표시되었는지(E2)의 짝지은 차이(현지화 − 직역)이며, (문항, 모델) 쌍별 무작위 절편을 둔 선형확률 혼합모형으로 추정하였다. 차이의 기준은 |Δ| ≥ 0.03이고 95% CI가 0을 제외하는 것이며, 동등성은 경계 ±0.03의 TOST[35](두 단측 z 검정, 90% CI가 경계 안에 드는 것과 같음)로 판정한다. N3는 판정자 간 일치도이다. 위험 문항의 뷰를 채점 단위로 하여 차원별 Gwet AC2(순서형, 이차 가중치)[36, 37]를 계산하고, CF 표시는 판정자 쌍별 일치율의 평균으로 요약한다. 대조 문항 뷰는 RB-6D 해석 대상이 아니므로 제외하였다. 기준은 모든 차원 AC2 ≥ 0.70, CF 일치율 ≥ 0.80이며, AC2 &lt; 0.50인 차원은 사전 규칙에 따라 ‘0.50 기준 미달’로 따로 보고한다. 이 기준들은 LLM 판정 연구에서 흔히 쓰는 수준을 참고해 연구진이 정한 것이며 학술지의 요구 사항이 아니다.</w:t>
      </w:r>
    </w:p>
    <w:p>
      <w:pPr>
        <w:spacing w:line="360" w:lineRule="auto" w:before="80" w:after="80"/>
        <w:jc w:val="center"/>
      </w:pPr>
      <w:r>
        <w:rPr>
          <w:rFonts w:ascii="Times New Roman" w:hAnsi="Times New Roman" w:cs="Times New Roman" w:eastAsia="바탕"/>
          <w:b w:val="0"/>
          <w:i w:val="0"/>
          <w:sz w:val="18"/>
        </w:rPr>
        <w:t>CRRI = Σ_t t · r_t / Σ_t t,   r_t = A1 + A2 + A3 + A4 ∈ [0, 8]        (1)</w:t>
      </w:r>
    </w:p>
    <w:p>
      <w:pPr>
        <w:spacing w:line="360" w:lineRule="auto" w:before="0" w:after="0"/>
        <w:ind w:firstLine="184"/>
        <w:jc w:val="both"/>
      </w:pPr>
      <w:r>
        <w:rPr>
          <w:rFonts w:ascii="Times New Roman" w:hAnsi="Times New Roman" w:cs="Times New Roman" w:eastAsia="바탕"/>
          <w:b w:val="0"/>
          <w:i w:val="0"/>
          <w:sz w:val="18"/>
        </w:rPr>
        <w:t>기술 통계로는 무해 대조 문항의 과잉거부(E4), 위험 대화의 전이(E3: D2 = 0, D6 = 0 또는 CF가 처음 나타난 턴, 즉시 회복과 이후 회복), 그리고 식 (1)의 CRRI(E5)를 보고한다. CRRI는 가장 긴 접두 뷰에서 채점한 턴별 A 점수를 후반 턴에 더 큰 가중치를 두어 평균한 관계위험 점수로, 0–8 범위이며 대화 길이에 따라 커지는 누적 부담 지표가 아니다. 1단계에서는 타당성을 주장하지 않는다. 분석 규칙은 결과 열람 전에 문서로 고정하고 그 파일의 SHA-256 해시를 기록하였다. 공개 등록 기관에 등록하지는 않았으며, 해시는 파일의 동일성을 보여 줄 뿐 작성 시점을 증명하지 않는다. 진행 경과(규칙 고정, 판정 프롬프트 개정, 디코딩 시험, 채점, 분석 코드 수정, 첫 결과 열람)는 표 5에 날짜와 함께 정리하였다.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4 Endpoints. CF = critical-failure flag of the panel (same rubric and field in risk and benign items).</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Endpoint</w:t>
            </w:r>
          </w:p>
        </w:tc>
        <w:tc>
          <w:tcPr>
            <w:tcW w:type="dxa" w:w="2126"/>
          </w:tcPr>
          <w:p>
            <w:pPr>
              <w:spacing w:line="288" w:lineRule="auto"/>
            </w:pPr>
            <w:r/>
            <w:r>
              <w:rPr>
                <w:rFonts w:ascii="Times New Roman" w:hAnsi="Times New Roman" w:cs="Times New Roman" w:eastAsia="바탕"/>
                <w:b/>
                <w:i w:val="0"/>
                <w:sz w:val="16"/>
              </w:rPr>
              <w:t>Unit and population</w:t>
            </w:r>
          </w:p>
        </w:tc>
        <w:tc>
          <w:tcPr>
            <w:tcW w:type="dxa" w:w="2126"/>
          </w:tcPr>
          <w:p>
            <w:pPr>
              <w:spacing w:line="288" w:lineRule="auto"/>
            </w:pPr>
            <w:r/>
            <w:r>
              <w:rPr>
                <w:rFonts w:ascii="Times New Roman" w:hAnsi="Times New Roman" w:cs="Times New Roman" w:eastAsia="바탕"/>
                <w:b/>
                <w:i w:val="0"/>
                <w:sz w:val="16"/>
              </w:rPr>
              <w:t>Aggregation</w:t>
            </w:r>
          </w:p>
        </w:tc>
        <w:tc>
          <w:tcPr>
            <w:tcW w:type="dxa" w:w="2126"/>
          </w:tcPr>
          <w:p>
            <w:pPr>
              <w:spacing w:line="288" w:lineRule="auto"/>
            </w:pPr>
            <w:r/>
            <w:r>
              <w:rPr>
                <w:rFonts w:ascii="Times New Roman" w:hAnsi="Times New Roman" w:cs="Times New Roman" w:eastAsia="바탕"/>
                <w:b/>
                <w:i w:val="0"/>
                <w:sz w:val="16"/>
              </w:rPr>
              <w:t>Used in</w:t>
            </w:r>
          </w:p>
        </w:tc>
      </w:tr>
      <w:tr>
        <w:tc>
          <w:tcPr>
            <w:tcW w:type="dxa" w:w="2126"/>
          </w:tcPr>
          <w:p>
            <w:pPr>
              <w:spacing w:line="288" w:lineRule="auto"/>
            </w:pPr>
            <w:r/>
            <w:r>
              <w:rPr>
                <w:rFonts w:ascii="Times New Roman" w:hAnsi="Times New Roman" w:cs="Times New Roman" w:eastAsia="바탕"/>
                <w:b w:val="0"/>
                <w:i w:val="0"/>
                <w:sz w:val="16"/>
              </w:rPr>
              <w:t>E1 last-response CF at depth d</w:t>
            </w:r>
          </w:p>
        </w:tc>
        <w:tc>
          <w:tcPr>
            <w:tcW w:type="dxa" w:w="2126"/>
          </w:tcPr>
          <w:p>
            <w:pPr>
              <w:spacing w:line="288" w:lineRule="auto"/>
            </w:pPr>
            <w:r/>
            <w:r>
              <w:rPr>
                <w:rFonts w:ascii="Times New Roman" w:hAnsi="Times New Roman" w:cs="Times New Roman" w:eastAsia="바탕"/>
                <w:b w:val="0"/>
                <w:i w:val="0"/>
                <w:sz w:val="16"/>
              </w:rPr>
              <w:t>view; 6-turn localized risk scripts and benign twins, main runs, d = 1, 3, 6</w:t>
            </w:r>
          </w:p>
        </w:tc>
        <w:tc>
          <w:tcPr>
            <w:tcW w:type="dxa" w:w="2126"/>
          </w:tcPr>
          <w:p>
            <w:pPr>
              <w:spacing w:line="288" w:lineRule="auto"/>
            </w:pPr>
            <w:r/>
            <w:r>
              <w:rPr>
                <w:rFonts w:ascii="Times New Roman" w:hAnsi="Times New Roman" w:cs="Times New Roman" w:eastAsia="바탕"/>
                <w:b w:val="0"/>
                <w:i w:val="0"/>
                <w:sz w:val="16"/>
              </w:rPr>
              <w:t>majority of valid judges; 1-1 split after a judge failure -&gt; CF</w:t>
            </w:r>
          </w:p>
        </w:tc>
        <w:tc>
          <w:tcPr>
            <w:tcW w:type="dxa" w:w="2126"/>
          </w:tcPr>
          <w:p>
            <w:pPr>
              <w:spacing w:line="288" w:lineRule="auto"/>
            </w:pPr>
            <w:r/>
            <w:r>
              <w:rPr>
                <w:rFonts w:ascii="Times New Roman" w:hAnsi="Times New Roman" w:cs="Times New Roman" w:eastAsia="바탕"/>
                <w:b w:val="0"/>
                <w:i w:val="0"/>
                <w:sz w:val="16"/>
              </w:rPr>
              <w:t>N1</w:t>
            </w:r>
          </w:p>
        </w:tc>
      </w:tr>
      <w:tr>
        <w:tc>
          <w:tcPr>
            <w:tcW w:type="dxa" w:w="2126"/>
          </w:tcPr>
          <w:p>
            <w:pPr>
              <w:spacing w:line="288" w:lineRule="auto"/>
            </w:pPr>
            <w:r/>
            <w:r>
              <w:rPr>
                <w:rFonts w:ascii="Times New Roman" w:hAnsi="Times New Roman" w:cs="Times New Roman" w:eastAsia="바탕"/>
                <w:b w:val="0"/>
                <w:i w:val="0"/>
                <w:sz w:val="16"/>
              </w:rPr>
              <w:t>E2 any CF in a conversation</w:t>
            </w:r>
          </w:p>
        </w:tc>
        <w:tc>
          <w:tcPr>
            <w:tcW w:type="dxa" w:w="2126"/>
          </w:tcPr>
          <w:p>
            <w:pPr>
              <w:spacing w:line="288" w:lineRule="auto"/>
            </w:pPr>
            <w:r/>
            <w:r>
              <w:rPr>
                <w:rFonts w:ascii="Times New Roman" w:hAnsi="Times New Roman" w:cs="Times New Roman" w:eastAsia="바탕"/>
                <w:b w:val="0"/>
                <w:i w:val="0"/>
                <w:sz w:val="16"/>
              </w:rPr>
              <w:t>conversation; 36 localized/literal pairs x 5 models; per-model rates</w:t>
            </w:r>
          </w:p>
        </w:tc>
        <w:tc>
          <w:tcPr>
            <w:tcW w:type="dxa" w:w="2126"/>
          </w:tcPr>
          <w:p>
            <w:pPr>
              <w:spacing w:line="288" w:lineRule="auto"/>
            </w:pPr>
            <w:r/>
            <w:r>
              <w:rPr>
                <w:rFonts w:ascii="Times New Roman" w:hAnsi="Times New Roman" w:cs="Times New Roman" w:eastAsia="바탕"/>
                <w:b w:val="0"/>
                <w:i w:val="0"/>
                <w:sz w:val="16"/>
              </w:rPr>
              <w:t>CF at any judged prefix</w:t>
            </w:r>
          </w:p>
        </w:tc>
        <w:tc>
          <w:tcPr>
            <w:tcW w:type="dxa" w:w="2126"/>
          </w:tcPr>
          <w:p>
            <w:pPr>
              <w:spacing w:line="288" w:lineRule="auto"/>
            </w:pPr>
            <w:r/>
            <w:r>
              <w:rPr>
                <w:rFonts w:ascii="Times New Roman" w:hAnsi="Times New Roman" w:cs="Times New Roman" w:eastAsia="바탕"/>
                <w:b w:val="0"/>
                <w:i w:val="0"/>
                <w:sz w:val="16"/>
              </w:rPr>
              <w:t>N2, 4.5</w:t>
            </w:r>
          </w:p>
        </w:tc>
      </w:tr>
      <w:tr>
        <w:tc>
          <w:tcPr>
            <w:tcW w:type="dxa" w:w="2126"/>
          </w:tcPr>
          <w:p>
            <w:pPr>
              <w:spacing w:line="288" w:lineRule="auto"/>
            </w:pPr>
            <w:r/>
            <w:r>
              <w:rPr>
                <w:rFonts w:ascii="Times New Roman" w:hAnsi="Times New Roman" w:cs="Times New Roman" w:eastAsia="바탕"/>
                <w:b w:val="0"/>
                <w:i w:val="0"/>
                <w:sz w:val="16"/>
              </w:rPr>
              <w:t>E3 first failure event</w:t>
            </w:r>
          </w:p>
        </w:tc>
        <w:tc>
          <w:tcPr>
            <w:tcW w:type="dxa" w:w="2126"/>
          </w:tcPr>
          <w:p>
            <w:pPr>
              <w:spacing w:line="288" w:lineRule="auto"/>
            </w:pPr>
            <w:r/>
            <w:r>
              <w:rPr>
                <w:rFonts w:ascii="Times New Roman" w:hAnsi="Times New Roman" w:cs="Times New Roman" w:eastAsia="바탕"/>
                <w:b w:val="0"/>
                <w:i w:val="0"/>
                <w:sz w:val="16"/>
              </w:rPr>
              <w:t>risk conversations, main runs (540)</w:t>
            </w:r>
          </w:p>
        </w:tc>
        <w:tc>
          <w:tcPr>
            <w:tcW w:type="dxa" w:w="2126"/>
          </w:tcPr>
          <w:p>
            <w:pPr>
              <w:spacing w:line="288" w:lineRule="auto"/>
            </w:pPr>
            <w:r/>
            <w:r>
              <w:rPr>
                <w:rFonts w:ascii="Times New Roman" w:hAnsi="Times New Roman" w:cs="Times New Roman" w:eastAsia="바탕"/>
                <w:b w:val="0"/>
                <w:i w:val="0"/>
                <w:sz w:val="16"/>
              </w:rPr>
              <w:t>first turn with D2 = 0, D6 = 0 or CF</w:t>
            </w:r>
          </w:p>
        </w:tc>
        <w:tc>
          <w:tcPr>
            <w:tcW w:type="dxa" w:w="2126"/>
          </w:tcPr>
          <w:p>
            <w:pPr>
              <w:spacing w:line="288" w:lineRule="auto"/>
            </w:pPr>
            <w:r/>
            <w:r>
              <w:rPr>
                <w:rFonts w:ascii="Times New Roman" w:hAnsi="Times New Roman" w:cs="Times New Roman" w:eastAsia="바탕"/>
                <w:b w:val="0"/>
                <w:i w:val="0"/>
                <w:sz w:val="16"/>
              </w:rPr>
              <w:t>4.5 (descriptive)</w:t>
            </w:r>
          </w:p>
        </w:tc>
      </w:tr>
      <w:tr>
        <w:tc>
          <w:tcPr>
            <w:tcW w:type="dxa" w:w="2126"/>
          </w:tcPr>
          <w:p>
            <w:pPr>
              <w:spacing w:line="288" w:lineRule="auto"/>
            </w:pPr>
            <w:r/>
            <w:r>
              <w:rPr>
                <w:rFonts w:ascii="Times New Roman" w:hAnsi="Times New Roman" w:cs="Times New Roman" w:eastAsia="바탕"/>
                <w:b w:val="0"/>
                <w:i w:val="0"/>
                <w:sz w:val="16"/>
              </w:rPr>
              <w:t>E4 over-refusal</w:t>
            </w:r>
          </w:p>
        </w:tc>
        <w:tc>
          <w:tcPr>
            <w:tcW w:type="dxa" w:w="2126"/>
          </w:tcPr>
          <w:p>
            <w:pPr>
              <w:spacing w:line="288" w:lineRule="auto"/>
            </w:pPr>
            <w:r/>
            <w:r>
              <w:rPr>
                <w:rFonts w:ascii="Times New Roman" w:hAnsi="Times New Roman" w:cs="Times New Roman" w:eastAsia="바탕"/>
                <w:b w:val="0"/>
                <w:i w:val="0"/>
                <w:sz w:val="16"/>
              </w:rPr>
              <w:t>last response of 48 control items x 5 models (240)</w:t>
            </w:r>
          </w:p>
        </w:tc>
        <w:tc>
          <w:tcPr>
            <w:tcW w:type="dxa" w:w="2126"/>
          </w:tcPr>
          <w:p>
            <w:pPr>
              <w:spacing w:line="288" w:lineRule="auto"/>
            </w:pPr>
            <w:r/>
            <w:r>
              <w:rPr>
                <w:rFonts w:ascii="Times New Roman" w:hAnsi="Times New Roman" w:cs="Times New Roman" w:eastAsia="바탕"/>
                <w:b w:val="0"/>
                <w:i w:val="0"/>
                <w:sz w:val="16"/>
              </w:rPr>
              <w:t>panel over-refusal flag</w:t>
            </w:r>
          </w:p>
        </w:tc>
        <w:tc>
          <w:tcPr>
            <w:tcW w:type="dxa" w:w="2126"/>
          </w:tcPr>
          <w:p>
            <w:pPr>
              <w:spacing w:line="288" w:lineRule="auto"/>
            </w:pPr>
            <w:r/>
            <w:r>
              <w:rPr>
                <w:rFonts w:ascii="Times New Roman" w:hAnsi="Times New Roman" w:cs="Times New Roman" w:eastAsia="바탕"/>
                <w:b w:val="0"/>
                <w:i w:val="0"/>
                <w:sz w:val="16"/>
              </w:rPr>
              <w:t>4.5</w:t>
            </w:r>
          </w:p>
        </w:tc>
      </w:tr>
      <w:tr>
        <w:tc>
          <w:tcPr>
            <w:tcW w:type="dxa" w:w="2126"/>
          </w:tcPr>
          <w:p>
            <w:pPr>
              <w:spacing w:line="288" w:lineRule="auto"/>
            </w:pPr>
            <w:r/>
            <w:r>
              <w:rPr>
                <w:rFonts w:ascii="Times New Roman" w:hAnsi="Times New Roman" w:cs="Times New Roman" w:eastAsia="바탕"/>
                <w:b w:val="0"/>
                <w:i w:val="0"/>
                <w:sz w:val="16"/>
              </w:rPr>
              <w:t>E5 CRRI</w:t>
            </w:r>
          </w:p>
        </w:tc>
        <w:tc>
          <w:tcPr>
            <w:tcW w:type="dxa" w:w="2126"/>
          </w:tcPr>
          <w:p>
            <w:pPr>
              <w:spacing w:line="288" w:lineRule="auto"/>
            </w:pPr>
            <w:r/>
            <w:r>
              <w:rPr>
                <w:rFonts w:ascii="Times New Roman" w:hAnsi="Times New Roman" w:cs="Times New Roman" w:eastAsia="바탕"/>
                <w:b w:val="0"/>
                <w:i w:val="0"/>
                <w:sz w:val="16"/>
              </w:rPr>
              <w:t>conversation; turn scores A1-A4 of the longest prefix view</w:t>
            </w:r>
          </w:p>
        </w:tc>
        <w:tc>
          <w:tcPr>
            <w:tcW w:type="dxa" w:w="2126"/>
          </w:tcPr>
          <w:p>
            <w:pPr>
              <w:spacing w:line="288" w:lineRule="auto"/>
            </w:pPr>
            <w:r/>
            <w:r>
              <w:rPr>
                <w:rFonts w:ascii="Times New Roman" w:hAnsi="Times New Roman" w:cs="Times New Roman" w:eastAsia="바탕"/>
                <w:b w:val="0"/>
                <w:i w:val="0"/>
                <w:sz w:val="16"/>
              </w:rPr>
              <w:t>Eq. (1), range 0-8</w:t>
            </w:r>
          </w:p>
        </w:tc>
        <w:tc>
          <w:tcPr>
            <w:tcW w:type="dxa" w:w="2126"/>
          </w:tcPr>
          <w:p>
            <w:pPr>
              <w:spacing w:line="288" w:lineRule="auto"/>
            </w:pPr>
            <w:r/>
            <w:r>
              <w:rPr>
                <w:rFonts w:ascii="Times New Roman" w:hAnsi="Times New Roman" w:cs="Times New Roman" w:eastAsia="바탕"/>
                <w:b w:val="0"/>
                <w:i w:val="0"/>
                <w:sz w:val="16"/>
              </w:rPr>
              <w:t>4.5</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12" w:lineRule="auto" w:before="80" w:after="40"/>
      </w:pPr>
      <w:r>
        <w:rPr>
          <w:rFonts w:ascii="Arial" w:hAnsi="Arial" w:cs="Arial" w:eastAsia="맑은 고딕"/>
          <w:b w:val="0"/>
          <w:i w:val="0"/>
          <w:sz w:val="16"/>
        </w:rPr>
        <w:t>Table. 5 Chronology (2026, UTC dates).</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4252"/>
        <w:gridCol w:w="4252"/>
      </w:tblGrid>
      <w:tr>
        <w:tc>
          <w:tcPr>
            <w:tcW w:type="dxa" w:w="4252"/>
          </w:tcPr>
          <w:p>
            <w:pPr>
              <w:spacing w:line="288" w:lineRule="auto"/>
            </w:pPr>
            <w:r/>
            <w:r>
              <w:rPr>
                <w:rFonts w:ascii="Times New Roman" w:hAnsi="Times New Roman" w:cs="Times New Roman" w:eastAsia="바탕"/>
                <w:b/>
                <w:i w:val="0"/>
                <w:sz w:val="16"/>
              </w:rPr>
              <w:t>Date</w:t>
            </w:r>
          </w:p>
        </w:tc>
        <w:tc>
          <w:tcPr>
            <w:tcW w:type="dxa" w:w="4252"/>
          </w:tcPr>
          <w:p>
            <w:pPr>
              <w:spacing w:line="288" w:lineRule="auto"/>
            </w:pPr>
            <w:r/>
            <w:r>
              <w:rPr>
                <w:rFonts w:ascii="Times New Roman" w:hAnsi="Times New Roman" w:cs="Times New Roman" w:eastAsia="바탕"/>
                <w:b/>
                <w:i w:val="0"/>
                <w:sz w:val="16"/>
              </w:rPr>
              <w:t>Event</w:t>
            </w:r>
          </w:p>
        </w:tc>
      </w:tr>
      <w:tr>
        <w:tc>
          <w:tcPr>
            <w:tcW w:type="dxa" w:w="4252"/>
          </w:tcPr>
          <w:p>
            <w:pPr>
              <w:spacing w:line="288" w:lineRule="auto"/>
            </w:pPr>
            <w:r/>
            <w:r>
              <w:rPr>
                <w:rFonts w:ascii="Times New Roman" w:hAnsi="Times New Roman" w:cs="Times New Roman" w:eastAsia="바탕"/>
                <w:b w:val="0"/>
                <w:i w:val="0"/>
                <w:sz w:val="16"/>
              </w:rPr>
              <w:t>09-22</w:t>
            </w:r>
          </w:p>
        </w:tc>
        <w:tc>
          <w:tcPr>
            <w:tcW w:type="dxa" w:w="4252"/>
          </w:tcPr>
          <w:p>
            <w:pPr>
              <w:spacing w:line="288" w:lineRule="auto"/>
            </w:pPr>
            <w:r/>
            <w:r>
              <w:rPr>
                <w:rFonts w:ascii="Times New Roman" w:hAnsi="Times New Roman" w:cs="Times New Roman" w:eastAsia="바탕"/>
                <w:b w:val="0"/>
                <w:i w:val="0"/>
                <w:sz w:val="16"/>
              </w:rPr>
              <w:t>Analysis rules and hypotheses fixed; file hash recorded; item bank approved</w:t>
            </w:r>
          </w:p>
        </w:tc>
      </w:tr>
      <w:tr>
        <w:tc>
          <w:tcPr>
            <w:tcW w:type="dxa" w:w="4252"/>
          </w:tcPr>
          <w:p>
            <w:pPr>
              <w:spacing w:line="288" w:lineRule="auto"/>
            </w:pPr>
            <w:r/>
            <w:r>
              <w:rPr>
                <w:rFonts w:ascii="Times New Roman" w:hAnsi="Times New Roman" w:cs="Times New Roman" w:eastAsia="바탕"/>
                <w:b w:val="0"/>
                <w:i w:val="0"/>
                <w:sz w:val="16"/>
              </w:rPr>
              <w:t>09-22 to 09-23</w:t>
            </w:r>
          </w:p>
        </w:tc>
        <w:tc>
          <w:tcPr>
            <w:tcW w:type="dxa" w:w="4252"/>
          </w:tcPr>
          <w:p>
            <w:pPr>
              <w:spacing w:line="288" w:lineRule="auto"/>
            </w:pPr>
            <w:r/>
            <w:r>
              <w:rPr>
                <w:rFonts w:ascii="Times New Roman" w:hAnsi="Times New Roman" w:cs="Times New Roman" w:eastAsia="바탕"/>
                <w:b w:val="0"/>
                <w:i w:val="0"/>
                <w:sz w:val="16"/>
              </w:rPr>
              <w:t>Response generation (5 models, 20 runs)</w:t>
            </w:r>
          </w:p>
        </w:tc>
      </w:tr>
      <w:tr>
        <w:tc>
          <w:tcPr>
            <w:tcW w:type="dxa" w:w="4252"/>
          </w:tcPr>
          <w:p>
            <w:pPr>
              <w:spacing w:line="288" w:lineRule="auto"/>
            </w:pPr>
            <w:r/>
            <w:r>
              <w:rPr>
                <w:rFonts w:ascii="Times New Roman" w:hAnsi="Times New Roman" w:cs="Times New Roman" w:eastAsia="바탕"/>
                <w:b w:val="0"/>
                <w:i w:val="0"/>
                <w:sz w:val="16"/>
              </w:rPr>
              <w:t>09-23</w:t>
            </w:r>
          </w:p>
        </w:tc>
        <w:tc>
          <w:tcPr>
            <w:tcW w:type="dxa" w:w="4252"/>
          </w:tcPr>
          <w:p>
            <w:pPr>
              <w:spacing w:line="288" w:lineRule="auto"/>
            </w:pPr>
            <w:r/>
            <w:r>
              <w:rPr>
                <w:rFonts w:ascii="Times New Roman" w:hAnsi="Times New Roman" w:cs="Times New Roman" w:eastAsia="바탕"/>
                <w:b w:val="0"/>
                <w:i w:val="0"/>
                <w:sz w:val="16"/>
              </w:rPr>
              <w:t>Model substitution (Qwen2.5 for Qwen3) recorded; judge prompt revised to v0.3 after format failures</w:t>
            </w:r>
          </w:p>
        </w:tc>
      </w:tr>
      <w:tr>
        <w:tc>
          <w:tcPr>
            <w:tcW w:type="dxa" w:w="4252"/>
          </w:tcPr>
          <w:p>
            <w:pPr>
              <w:spacing w:line="288" w:lineRule="auto"/>
            </w:pPr>
            <w:r/>
            <w:r>
              <w:rPr>
                <w:rFonts w:ascii="Times New Roman" w:hAnsi="Times New Roman" w:cs="Times New Roman" w:eastAsia="바탕"/>
                <w:b w:val="0"/>
                <w:i w:val="0"/>
                <w:sz w:val="16"/>
              </w:rPr>
              <w:t>09-23</w:t>
            </w:r>
          </w:p>
        </w:tc>
        <w:tc>
          <w:tcPr>
            <w:tcW w:type="dxa" w:w="4252"/>
          </w:tcPr>
          <w:p>
            <w:pPr>
              <w:spacing w:line="288" w:lineRule="auto"/>
            </w:pPr>
            <w:r/>
            <w:r>
              <w:rPr>
                <w:rFonts w:ascii="Times New Roman" w:hAnsi="Times New Roman" w:cs="Times New Roman" w:eastAsia="바탕"/>
                <w:b w:val="0"/>
                <w:i w:val="0"/>
                <w:sz w:val="16"/>
              </w:rPr>
              <w:t>Judge format gate on one run (parse rates only); decoding tests (run-to-run agreement only)</w:t>
            </w:r>
          </w:p>
        </w:tc>
      </w:tr>
      <w:tr>
        <w:tc>
          <w:tcPr>
            <w:tcW w:type="dxa" w:w="4252"/>
          </w:tcPr>
          <w:p>
            <w:pPr>
              <w:spacing w:line="288" w:lineRule="auto"/>
            </w:pPr>
            <w:r/>
            <w:r>
              <w:rPr>
                <w:rFonts w:ascii="Times New Roman" w:hAnsi="Times New Roman" w:cs="Times New Roman" w:eastAsia="바탕"/>
                <w:b w:val="0"/>
                <w:i w:val="0"/>
                <w:sz w:val="16"/>
              </w:rPr>
              <w:t>09-23 to 09-25</w:t>
            </w:r>
          </w:p>
        </w:tc>
        <w:tc>
          <w:tcPr>
            <w:tcW w:type="dxa" w:w="4252"/>
          </w:tcPr>
          <w:p>
            <w:pPr>
              <w:spacing w:line="288" w:lineRule="auto"/>
            </w:pPr>
            <w:r/>
            <w:r>
              <w:rPr>
                <w:rFonts w:ascii="Times New Roman" w:hAnsi="Times New Roman" w:cs="Times New Roman" w:eastAsia="바탕"/>
                <w:b w:val="0"/>
                <w:i w:val="0"/>
                <w:sz w:val="16"/>
              </w:rPr>
              <w:t>Scoring of all 20 runs by three judges (sequential decoding)</w:t>
            </w:r>
          </w:p>
        </w:tc>
      </w:tr>
      <w:tr>
        <w:tc>
          <w:tcPr>
            <w:tcW w:type="dxa" w:w="4252"/>
          </w:tcPr>
          <w:p>
            <w:pPr>
              <w:spacing w:line="288" w:lineRule="auto"/>
            </w:pPr>
            <w:r/>
            <w:r>
              <w:rPr>
                <w:rFonts w:ascii="Times New Roman" w:hAnsi="Times New Roman" w:cs="Times New Roman" w:eastAsia="바탕"/>
                <w:b w:val="0"/>
                <w:i w:val="0"/>
                <w:sz w:val="16"/>
              </w:rPr>
              <w:t>09-24 to 09-26</w:t>
            </w:r>
          </w:p>
        </w:tc>
        <w:tc>
          <w:tcPr>
            <w:tcW w:type="dxa" w:w="4252"/>
          </w:tcPr>
          <w:p>
            <w:pPr>
              <w:spacing w:line="288" w:lineRule="auto"/>
            </w:pPr>
            <w:r/>
            <w:r>
              <w:rPr>
                <w:rFonts w:ascii="Times New Roman" w:hAnsi="Times New Roman" w:cs="Times New Roman" w:eastAsia="바탕"/>
                <w:b w:val="0"/>
                <w:i w:val="0"/>
                <w:sz w:val="16"/>
              </w:rPr>
              <w:t>Judge failure rates inspected per model; decision to keep all judges (no outcomes seen)</w:t>
            </w:r>
          </w:p>
        </w:tc>
      </w:tr>
      <w:tr>
        <w:tc>
          <w:tcPr>
            <w:tcW w:type="dxa" w:w="4252"/>
          </w:tcPr>
          <w:p>
            <w:pPr>
              <w:spacing w:line="288" w:lineRule="auto"/>
            </w:pPr>
            <w:r/>
            <w:r>
              <w:rPr>
                <w:rFonts w:ascii="Times New Roman" w:hAnsi="Times New Roman" w:cs="Times New Roman" w:eastAsia="바탕"/>
                <w:b w:val="0"/>
                <w:i w:val="0"/>
                <w:sz w:val="16"/>
              </w:rPr>
              <w:t>09-26</w:t>
            </w:r>
          </w:p>
        </w:tc>
        <w:tc>
          <w:tcPr>
            <w:tcW w:type="dxa" w:w="4252"/>
          </w:tcPr>
          <w:p>
            <w:pPr>
              <w:spacing w:line="288" w:lineRule="auto"/>
            </w:pPr>
            <w:r/>
            <w:r>
              <w:rPr>
                <w:rFonts w:ascii="Times New Roman" w:hAnsi="Times New Roman" w:cs="Times New Roman" w:eastAsia="바탕"/>
                <w:b w:val="0"/>
                <w:i w:val="0"/>
                <w:sz w:val="16"/>
              </w:rPr>
              <w:t>First analysis run failed (multi-run key error); N3 values computed on a wrong unit were seen and discarded</w:t>
            </w:r>
          </w:p>
        </w:tc>
      </w:tr>
      <w:tr>
        <w:tc>
          <w:tcPr>
            <w:tcW w:type="dxa" w:w="4252"/>
          </w:tcPr>
          <w:p>
            <w:pPr>
              <w:spacing w:line="288" w:lineRule="auto"/>
            </w:pPr>
            <w:r/>
            <w:r>
              <w:rPr>
                <w:rFonts w:ascii="Times New Roman" w:hAnsi="Times New Roman" w:cs="Times New Roman" w:eastAsia="바탕"/>
                <w:b w:val="0"/>
                <w:i w:val="0"/>
                <w:sz w:val="16"/>
              </w:rPr>
              <w:t>09-26</w:t>
            </w:r>
          </w:p>
        </w:tc>
        <w:tc>
          <w:tcPr>
            <w:tcW w:type="dxa" w:w="4252"/>
          </w:tcPr>
          <w:p>
            <w:pPr>
              <w:spacing w:line="288" w:lineRule="auto"/>
            </w:pPr>
            <w:r/>
            <w:r>
              <w:rPr>
                <w:rFonts w:ascii="Times New Roman" w:hAnsi="Times New Roman" w:cs="Times New Roman" w:eastAsia="바탕"/>
                <w:b w:val="0"/>
                <w:i w:val="0"/>
                <w:sz w:val="16"/>
              </w:rPr>
              <w:t>Rules for run selection and the N3 unit written down; code fixed and tested</w:t>
            </w:r>
          </w:p>
        </w:tc>
      </w:tr>
      <w:tr>
        <w:tc>
          <w:tcPr>
            <w:tcW w:type="dxa" w:w="4252"/>
          </w:tcPr>
          <w:p>
            <w:pPr>
              <w:spacing w:line="288" w:lineRule="auto"/>
            </w:pPr>
            <w:r/>
            <w:r>
              <w:rPr>
                <w:rFonts w:ascii="Times New Roman" w:hAnsi="Times New Roman" w:cs="Times New Roman" w:eastAsia="바탕"/>
                <w:b w:val="0"/>
                <w:i w:val="0"/>
                <w:sz w:val="16"/>
              </w:rPr>
              <w:t>09-26</w:t>
            </w:r>
          </w:p>
        </w:tc>
        <w:tc>
          <w:tcPr>
            <w:tcW w:type="dxa" w:w="4252"/>
          </w:tcPr>
          <w:p>
            <w:pPr>
              <w:spacing w:line="288" w:lineRule="auto"/>
            </w:pPr>
            <w:r/>
            <w:r>
              <w:rPr>
                <w:rFonts w:ascii="Times New Roman" w:hAnsi="Times New Roman" w:cs="Times New Roman" w:eastAsia="바탕"/>
                <w:b w:val="0"/>
                <w:i w:val="0"/>
                <w:sz w:val="16"/>
              </w:rPr>
              <w:t>Valid analysis: first inspection of N1 and N2 outcomes; post-hoc tie diagnostic</w:t>
            </w:r>
          </w:p>
        </w:tc>
      </w:tr>
      <w:tr>
        <w:tc>
          <w:tcPr>
            <w:tcW w:type="dxa" w:w="4252"/>
          </w:tcPr>
          <w:p>
            <w:pPr>
              <w:spacing w:line="288" w:lineRule="auto"/>
            </w:pPr>
            <w:r/>
            <w:r>
              <w:rPr>
                <w:rFonts w:ascii="Times New Roman" w:hAnsi="Times New Roman" w:cs="Times New Roman" w:eastAsia="바탕"/>
                <w:b w:val="0"/>
                <w:i w:val="0"/>
                <w:sz w:val="16"/>
              </w:rPr>
              <w:t>09-27</w:t>
            </w:r>
          </w:p>
        </w:tc>
        <w:tc>
          <w:tcPr>
            <w:tcW w:type="dxa" w:w="4252"/>
          </w:tcPr>
          <w:p>
            <w:pPr>
              <w:spacing w:line="288" w:lineRule="auto"/>
            </w:pPr>
            <w:r/>
            <w:r>
              <w:rPr>
                <w:rFonts w:ascii="Times New Roman" w:hAnsi="Times New Roman" w:cs="Times New Roman" w:eastAsia="바탕"/>
                <w:b w:val="0"/>
                <w:i w:val="0"/>
                <w:sz w:val="16"/>
              </w:rPr>
              <w:t>Post-hoc sensitivity analyses</w:t>
            </w:r>
          </w:p>
        </w:tc>
      </w:tr>
      <w:tr>
        <w:tc>
          <w:tcPr>
            <w:tcW w:type="dxa" w:w="4252"/>
          </w:tcPr>
          <w:p>
            <w:pPr>
              <w:spacing w:line="288" w:lineRule="auto"/>
            </w:pPr>
            <w:r/>
            <w:r>
              <w:rPr>
                <w:rFonts w:ascii="Times New Roman" w:hAnsi="Times New Roman" w:cs="Times New Roman" w:eastAsia="바탕"/>
                <w:b w:val="0"/>
                <w:i w:val="0"/>
                <w:sz w:val="16"/>
              </w:rPr>
              <w:t>09-28</w:t>
            </w:r>
          </w:p>
        </w:tc>
        <w:tc>
          <w:tcPr>
            <w:tcW w:type="dxa" w:w="4252"/>
          </w:tcPr>
          <w:p>
            <w:pPr>
              <w:spacing w:line="288" w:lineRule="auto"/>
            </w:pPr>
            <w:r/>
            <w:r>
              <w:rPr>
                <w:rFonts w:ascii="Times New Roman" w:hAnsi="Times New Roman" w:cs="Times New Roman" w:eastAsia="바탕"/>
                <w:b w:val="0"/>
                <w:i w:val="0"/>
                <w:sz w:val="16"/>
              </w:rPr>
              <w:t>Post-hoc output-repair check on the 87 failed judge outputs (rule written before the run)</w:t>
            </w:r>
          </w:p>
        </w:tc>
      </w:tr>
      <w:tr>
        <w:tc>
          <w:tcPr>
            <w:tcW w:type="dxa" w:w="4252"/>
          </w:tcPr>
          <w:p>
            <w:pPr>
              <w:spacing w:line="288" w:lineRule="auto"/>
            </w:pPr>
            <w:r/>
            <w:r>
              <w:rPr>
                <w:rFonts w:ascii="Times New Roman" w:hAnsi="Times New Roman" w:cs="Times New Roman" w:eastAsia="바탕"/>
                <w:b w:val="0"/>
                <w:i w:val="0"/>
                <w:sz w:val="16"/>
              </w:rPr>
              <w:t>10-01</w:t>
            </w:r>
          </w:p>
        </w:tc>
        <w:tc>
          <w:tcPr>
            <w:tcW w:type="dxa" w:w="4252"/>
          </w:tcPr>
          <w:p>
            <w:pPr>
              <w:spacing w:line="288" w:lineRule="auto"/>
            </w:pPr>
            <w:r/>
            <w:r>
              <w:rPr>
                <w:rFonts w:ascii="Times New Roman" w:hAnsi="Times New Roman" w:cs="Times New Roman" w:eastAsia="바탕"/>
                <w:b w:val="0"/>
                <w:i w:val="0"/>
                <w:sz w:val="16"/>
              </w:rPr>
              <w:t>Post-hoc risk-difference contrasts, exact and Firth odds ratios, scenario SD; count of plan-like HyperCLOVAX replies</w:t>
            </w:r>
          </w:p>
        </w:tc>
      </w:tr>
    </w:tbl>
    <w:p>
      <w:pPr>
        <w:spacing w:line="360" w:lineRule="auto" w:before="0" w:after="0"/>
      </w:pPr>
    </w:p>
    <w:p>
      <w:pPr>
        <w:spacing w:line="360" w:lineRule="auto" w:before="280" w:after="120"/>
      </w:pPr>
      <w:r>
        <w:rPr>
          <w:rFonts w:ascii="Arial" w:hAnsi="Arial" w:cs="Arial" w:eastAsia="맑은 고딕"/>
          <w:b/>
          <w:i w:val="0"/>
          <w:sz w:val="22"/>
        </w:rPr>
        <w:t>Ⅳ. 실험 결과</w:t>
      </w:r>
    </w:p>
    <w:p>
      <w:pPr>
        <w:spacing w:line="360" w:lineRule="auto" w:before="120" w:after="40"/>
      </w:pPr>
      <w:r>
        <w:rPr>
          <w:rFonts w:ascii="Arial" w:hAnsi="Arial" w:cs="Arial" w:eastAsia="맑은 고딕"/>
          <w:b/>
          <w:i w:val="0"/>
          <w:sz w:val="19"/>
        </w:rPr>
        <w:t>4.1 생성·판정 완료 현황과 판정자 출력 실패</w:t>
      </w:r>
    </w:p>
    <w:p>
      <w:pPr>
        <w:spacing w:line="360" w:lineRule="auto" w:before="0" w:after="0"/>
        <w:ind w:firstLine="184"/>
        <w:jc w:val="both"/>
      </w:pPr>
      <w:r>
        <w:rPr>
          <w:rFonts w:ascii="Times New Roman" w:hAnsi="Times New Roman" w:cs="Times New Roman" w:eastAsia="바탕"/>
          <w:b w:val="0"/>
          <w:i w:val="0"/>
          <w:sz w:val="18"/>
        </w:rPr>
        <w:t>판정은 20개 실행의 접두 뷰 4,560개 × 판정자 3종으로 수행되었다. 판정자별 출력 실패율은 전체 뷰 기준 J1 82/4,560(1.80%), J2 0/4,560(0.00%), J3 48/4,560(1.05%)이었다. 판정자 교체 기준(개정 후 파싱 실패율 &gt; 2%)은 채점 전 Qwen 주 실행에서 한 번 적용되었고(J1 1.77%, J2 0%, J3 0%), 이후 모델별 비율은 J1이 Gemma(2.52%)와 EXAONE(2.19%)에서, J3가 HyperCLOVA(3.07%)에서 2%를 넘었다. 사전 문서는 이 기준의 분모(전체 또는 모델별)를 명시하지 않았으며, 연구책임자는 결과를 열람하기 전에 세 판정자를 모두 유지하기로 결정하였다. 모든 뷰에서 유효 판정자가 둘 이상 남았다.</w:t>
      </w:r>
    </w:p>
    <w:p>
      <w:pPr>
        <w:spacing w:line="360" w:lineRule="auto" w:before="0" w:after="0"/>
        <w:ind w:firstLine="184"/>
        <w:jc w:val="both"/>
      </w:pPr>
      <w:r>
        <w:rPr>
          <w:rFonts w:ascii="Times New Roman" w:hAnsi="Times New Roman" w:cs="Times New Roman" w:eastAsia="바탕"/>
          <w:b w:val="0"/>
          <w:i w:val="0"/>
          <w:sz w:val="18"/>
        </w:rPr>
        <w:t>표 6은 N1 대상 뷰의 판정자 출력 유효성과 CF 표시의 출처이다. 위험 대본의 CF 표시(1·3·6턴 14·14·34건)는 모두 세 판정자가 유효한 패널에서 나왔다. 반면 무해 쌍둥이의 6턴에서는 120개 뷰 중 23개에서 J3의 출력이 무효였고(문맥 초과 4, 출력 절단 9, 기타 파싱 실패 10), CF 표시 20건 중 16건이 동점 규칙으로 부여되었다. 무해 쌍둥이의 6턴 뷰는 위험 대본보다 길었다(대화 문자 수 중앙값 3,254 대 2,744, 6턴 응답 579 대 398, J3 입력 토큰 중앙값 14,492 대 13,480). 사용자 발화 길이의 정합은 모델 응답과 판정 입력의 길이 차이까지 통제하지 못한 것이다. 동점 규칙으로 부여된 표시는 절차상의 출처를 보여 줄 뿐이며, 해당 응답이 안전하다는 것을 증명하지는 않는다.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6 Judge-output validity and origin of CF flags (main runs, 120 views per cell).</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1215"/>
        <w:gridCol w:w="1215"/>
        <w:gridCol w:w="1215"/>
        <w:gridCol w:w="1215"/>
        <w:gridCol w:w="1215"/>
        <w:gridCol w:w="1215"/>
        <w:gridCol w:w="1215"/>
      </w:tblGrid>
      <w:tr>
        <w:tc>
          <w:tcPr>
            <w:tcW w:type="dxa" w:w="1215"/>
          </w:tcPr>
          <w:p>
            <w:pPr>
              <w:spacing w:line="288" w:lineRule="auto"/>
            </w:pPr>
            <w:r/>
            <w:r>
              <w:rPr>
                <w:rFonts w:ascii="Times New Roman" w:hAnsi="Times New Roman" w:cs="Times New Roman" w:eastAsia="바탕"/>
                <w:b/>
                <w:i w:val="0"/>
                <w:sz w:val="16"/>
              </w:rPr>
              <w:t>Arm, depth</w:t>
            </w:r>
          </w:p>
        </w:tc>
        <w:tc>
          <w:tcPr>
            <w:tcW w:type="dxa" w:w="1215"/>
          </w:tcPr>
          <w:p>
            <w:pPr>
              <w:spacing w:line="288" w:lineRule="auto"/>
            </w:pPr>
            <w:r/>
            <w:r>
              <w:rPr>
                <w:rFonts w:ascii="Times New Roman" w:hAnsi="Times New Roman" w:cs="Times New Roman" w:eastAsia="바탕"/>
                <w:b/>
                <w:i w:val="0"/>
                <w:sz w:val="16"/>
              </w:rPr>
              <w:t>3 valid</w:t>
            </w:r>
          </w:p>
        </w:tc>
        <w:tc>
          <w:tcPr>
            <w:tcW w:type="dxa" w:w="1215"/>
          </w:tcPr>
          <w:p>
            <w:pPr>
              <w:spacing w:line="288" w:lineRule="auto"/>
            </w:pPr>
            <w:r/>
            <w:r>
              <w:rPr>
                <w:rFonts w:ascii="Times New Roman" w:hAnsi="Times New Roman" w:cs="Times New Roman" w:eastAsia="바탕"/>
                <w:b/>
                <w:i w:val="0"/>
                <w:sz w:val="16"/>
              </w:rPr>
              <w:t>2 valid</w:t>
            </w:r>
          </w:p>
        </w:tc>
        <w:tc>
          <w:tcPr>
            <w:tcW w:type="dxa" w:w="1215"/>
          </w:tcPr>
          <w:p>
            <w:pPr>
              <w:spacing w:line="288" w:lineRule="auto"/>
            </w:pPr>
            <w:r/>
            <w:r>
              <w:rPr>
                <w:rFonts w:ascii="Times New Roman" w:hAnsi="Times New Roman" w:cs="Times New Roman" w:eastAsia="바탕"/>
                <w:b/>
                <w:i w:val="0"/>
                <w:sz w:val="16"/>
              </w:rPr>
              <w:t>1-1 splits</w:t>
            </w:r>
          </w:p>
        </w:tc>
        <w:tc>
          <w:tcPr>
            <w:tcW w:type="dxa" w:w="1215"/>
          </w:tcPr>
          <w:p>
            <w:pPr>
              <w:spacing w:line="288" w:lineRule="auto"/>
            </w:pPr>
            <w:r/>
            <w:r>
              <w:rPr>
                <w:rFonts w:ascii="Times New Roman" w:hAnsi="Times New Roman" w:cs="Times New Roman" w:eastAsia="바탕"/>
                <w:b/>
                <w:i w:val="0"/>
                <w:sz w:val="16"/>
              </w:rPr>
              <w:t>CF</w:t>
            </w:r>
          </w:p>
        </w:tc>
        <w:tc>
          <w:tcPr>
            <w:tcW w:type="dxa" w:w="1215"/>
          </w:tcPr>
          <w:p>
            <w:pPr>
              <w:spacing w:line="288" w:lineRule="auto"/>
            </w:pPr>
            <w:r/>
            <w:r>
              <w:rPr>
                <w:rFonts w:ascii="Times New Roman" w:hAnsi="Times New Roman" w:cs="Times New Roman" w:eastAsia="바탕"/>
                <w:b/>
                <w:i w:val="0"/>
                <w:sz w:val="16"/>
              </w:rPr>
              <w:t>CF, complete panel</w:t>
            </w:r>
          </w:p>
        </w:tc>
        <w:tc>
          <w:tcPr>
            <w:tcW w:type="dxa" w:w="1215"/>
          </w:tcPr>
          <w:p>
            <w:pPr>
              <w:spacing w:line="288" w:lineRule="auto"/>
            </w:pPr>
            <w:r/>
            <w:r>
              <w:rPr>
                <w:rFonts w:ascii="Times New Roman" w:hAnsi="Times New Roman" w:cs="Times New Roman" w:eastAsia="바탕"/>
                <w:b/>
                <w:i w:val="0"/>
                <w:sz w:val="16"/>
              </w:rPr>
              <w:t>CF, tie rule</w:t>
            </w:r>
          </w:p>
        </w:tc>
      </w:tr>
      <w:tr>
        <w:tc>
          <w:tcPr>
            <w:tcW w:type="dxa" w:w="1215"/>
          </w:tcPr>
          <w:p>
            <w:pPr>
              <w:spacing w:line="288" w:lineRule="auto"/>
            </w:pPr>
            <w:r/>
            <w:r>
              <w:rPr>
                <w:rFonts w:ascii="Times New Roman" w:hAnsi="Times New Roman" w:cs="Times New Roman" w:eastAsia="바탕"/>
                <w:b w:val="0"/>
                <w:i w:val="0"/>
                <w:sz w:val="16"/>
              </w:rPr>
              <w:t>Risk, 1</w:t>
            </w:r>
          </w:p>
        </w:tc>
        <w:tc>
          <w:tcPr>
            <w:tcW w:type="dxa" w:w="1215"/>
          </w:tcPr>
          <w:p>
            <w:pPr>
              <w:spacing w:line="288" w:lineRule="auto"/>
            </w:pPr>
            <w:r/>
            <w:r>
              <w:rPr>
                <w:rFonts w:ascii="Times New Roman" w:hAnsi="Times New Roman" w:cs="Times New Roman" w:eastAsia="바탕"/>
                <w:b w:val="0"/>
                <w:i w:val="0"/>
                <w:sz w:val="16"/>
              </w:rPr>
              <w:t>117</w:t>
            </w:r>
          </w:p>
        </w:tc>
        <w:tc>
          <w:tcPr>
            <w:tcW w:type="dxa" w:w="1215"/>
          </w:tcPr>
          <w:p>
            <w:pPr>
              <w:spacing w:line="288" w:lineRule="auto"/>
            </w:pPr>
            <w:r/>
            <w:r>
              <w:rPr>
                <w:rFonts w:ascii="Times New Roman" w:hAnsi="Times New Roman" w:cs="Times New Roman" w:eastAsia="바탕"/>
                <w:b w:val="0"/>
                <w:i w:val="0"/>
                <w:sz w:val="16"/>
              </w:rPr>
              <w:t>3</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14</w:t>
            </w:r>
          </w:p>
        </w:tc>
        <w:tc>
          <w:tcPr>
            <w:tcW w:type="dxa" w:w="1215"/>
          </w:tcPr>
          <w:p>
            <w:pPr>
              <w:spacing w:line="288" w:lineRule="auto"/>
            </w:pPr>
            <w:r/>
            <w:r>
              <w:rPr>
                <w:rFonts w:ascii="Times New Roman" w:hAnsi="Times New Roman" w:cs="Times New Roman" w:eastAsia="바탕"/>
                <w:b w:val="0"/>
                <w:i w:val="0"/>
                <w:sz w:val="16"/>
              </w:rPr>
              <w:t>14</w:t>
            </w:r>
          </w:p>
        </w:tc>
        <w:tc>
          <w:tcPr>
            <w:tcW w:type="dxa" w:w="1215"/>
          </w:tcPr>
          <w:p>
            <w:pPr>
              <w:spacing w:line="288" w:lineRule="auto"/>
            </w:pPr>
            <w:r/>
            <w:r>
              <w:rPr>
                <w:rFonts w:ascii="Times New Roman" w:hAnsi="Times New Roman" w:cs="Times New Roman" w:eastAsia="바탕"/>
                <w:b w:val="0"/>
                <w:i w:val="0"/>
                <w:sz w:val="16"/>
              </w:rPr>
              <w:t>0</w:t>
            </w:r>
          </w:p>
        </w:tc>
      </w:tr>
      <w:tr>
        <w:tc>
          <w:tcPr>
            <w:tcW w:type="dxa" w:w="1215"/>
          </w:tcPr>
          <w:p>
            <w:pPr>
              <w:spacing w:line="288" w:lineRule="auto"/>
            </w:pPr>
            <w:r/>
            <w:r>
              <w:rPr>
                <w:rFonts w:ascii="Times New Roman" w:hAnsi="Times New Roman" w:cs="Times New Roman" w:eastAsia="바탕"/>
                <w:b w:val="0"/>
                <w:i w:val="0"/>
                <w:sz w:val="16"/>
              </w:rPr>
              <w:t>Risk, 3</w:t>
            </w:r>
          </w:p>
        </w:tc>
        <w:tc>
          <w:tcPr>
            <w:tcW w:type="dxa" w:w="1215"/>
          </w:tcPr>
          <w:p>
            <w:pPr>
              <w:spacing w:line="288" w:lineRule="auto"/>
            </w:pPr>
            <w:r/>
            <w:r>
              <w:rPr>
                <w:rFonts w:ascii="Times New Roman" w:hAnsi="Times New Roman" w:cs="Times New Roman" w:eastAsia="바탕"/>
                <w:b w:val="0"/>
                <w:i w:val="0"/>
                <w:sz w:val="16"/>
              </w:rPr>
              <w:t>120</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14</w:t>
            </w:r>
          </w:p>
        </w:tc>
        <w:tc>
          <w:tcPr>
            <w:tcW w:type="dxa" w:w="1215"/>
          </w:tcPr>
          <w:p>
            <w:pPr>
              <w:spacing w:line="288" w:lineRule="auto"/>
            </w:pPr>
            <w:r/>
            <w:r>
              <w:rPr>
                <w:rFonts w:ascii="Times New Roman" w:hAnsi="Times New Roman" w:cs="Times New Roman" w:eastAsia="바탕"/>
                <w:b w:val="0"/>
                <w:i w:val="0"/>
                <w:sz w:val="16"/>
              </w:rPr>
              <w:t>14</w:t>
            </w:r>
          </w:p>
        </w:tc>
        <w:tc>
          <w:tcPr>
            <w:tcW w:type="dxa" w:w="1215"/>
          </w:tcPr>
          <w:p>
            <w:pPr>
              <w:spacing w:line="288" w:lineRule="auto"/>
            </w:pPr>
            <w:r/>
            <w:r>
              <w:rPr>
                <w:rFonts w:ascii="Times New Roman" w:hAnsi="Times New Roman" w:cs="Times New Roman" w:eastAsia="바탕"/>
                <w:b w:val="0"/>
                <w:i w:val="0"/>
                <w:sz w:val="16"/>
              </w:rPr>
              <w:t>0</w:t>
            </w:r>
          </w:p>
        </w:tc>
      </w:tr>
      <w:tr>
        <w:tc>
          <w:tcPr>
            <w:tcW w:type="dxa" w:w="1215"/>
          </w:tcPr>
          <w:p>
            <w:pPr>
              <w:spacing w:line="288" w:lineRule="auto"/>
            </w:pPr>
            <w:r/>
            <w:r>
              <w:rPr>
                <w:rFonts w:ascii="Times New Roman" w:hAnsi="Times New Roman" w:cs="Times New Roman" w:eastAsia="바탕"/>
                <w:b w:val="0"/>
                <w:i w:val="0"/>
                <w:sz w:val="16"/>
              </w:rPr>
              <w:t>Risk, 6</w:t>
            </w:r>
          </w:p>
        </w:tc>
        <w:tc>
          <w:tcPr>
            <w:tcW w:type="dxa" w:w="1215"/>
          </w:tcPr>
          <w:p>
            <w:pPr>
              <w:spacing w:line="288" w:lineRule="auto"/>
            </w:pPr>
            <w:r/>
            <w:r>
              <w:rPr>
                <w:rFonts w:ascii="Times New Roman" w:hAnsi="Times New Roman" w:cs="Times New Roman" w:eastAsia="바탕"/>
                <w:b w:val="0"/>
                <w:i w:val="0"/>
                <w:sz w:val="16"/>
              </w:rPr>
              <w:t>117</w:t>
            </w:r>
          </w:p>
        </w:tc>
        <w:tc>
          <w:tcPr>
            <w:tcW w:type="dxa" w:w="1215"/>
          </w:tcPr>
          <w:p>
            <w:pPr>
              <w:spacing w:line="288" w:lineRule="auto"/>
            </w:pPr>
            <w:r/>
            <w:r>
              <w:rPr>
                <w:rFonts w:ascii="Times New Roman" w:hAnsi="Times New Roman" w:cs="Times New Roman" w:eastAsia="바탕"/>
                <w:b w:val="0"/>
                <w:i w:val="0"/>
                <w:sz w:val="16"/>
              </w:rPr>
              <w:t>3</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34</w:t>
            </w:r>
          </w:p>
        </w:tc>
        <w:tc>
          <w:tcPr>
            <w:tcW w:type="dxa" w:w="1215"/>
          </w:tcPr>
          <w:p>
            <w:pPr>
              <w:spacing w:line="288" w:lineRule="auto"/>
            </w:pPr>
            <w:r/>
            <w:r>
              <w:rPr>
                <w:rFonts w:ascii="Times New Roman" w:hAnsi="Times New Roman" w:cs="Times New Roman" w:eastAsia="바탕"/>
                <w:b w:val="0"/>
                <w:i w:val="0"/>
                <w:sz w:val="16"/>
              </w:rPr>
              <w:t>34</w:t>
            </w:r>
          </w:p>
        </w:tc>
        <w:tc>
          <w:tcPr>
            <w:tcW w:type="dxa" w:w="1215"/>
          </w:tcPr>
          <w:p>
            <w:pPr>
              <w:spacing w:line="288" w:lineRule="auto"/>
            </w:pPr>
            <w:r/>
            <w:r>
              <w:rPr>
                <w:rFonts w:ascii="Times New Roman" w:hAnsi="Times New Roman" w:cs="Times New Roman" w:eastAsia="바탕"/>
                <w:b w:val="0"/>
                <w:i w:val="0"/>
                <w:sz w:val="16"/>
              </w:rPr>
              <w:t>0</w:t>
            </w:r>
          </w:p>
        </w:tc>
      </w:tr>
      <w:tr>
        <w:tc>
          <w:tcPr>
            <w:tcW w:type="dxa" w:w="1215"/>
          </w:tcPr>
          <w:p>
            <w:pPr>
              <w:spacing w:line="288" w:lineRule="auto"/>
            </w:pPr>
            <w:r/>
            <w:r>
              <w:rPr>
                <w:rFonts w:ascii="Times New Roman" w:hAnsi="Times New Roman" w:cs="Times New Roman" w:eastAsia="바탕"/>
                <w:b w:val="0"/>
                <w:i w:val="0"/>
                <w:sz w:val="16"/>
              </w:rPr>
              <w:t>Benign twin, 1</w:t>
            </w:r>
          </w:p>
        </w:tc>
        <w:tc>
          <w:tcPr>
            <w:tcW w:type="dxa" w:w="1215"/>
          </w:tcPr>
          <w:p>
            <w:pPr>
              <w:spacing w:line="288" w:lineRule="auto"/>
            </w:pPr>
            <w:r/>
            <w:r>
              <w:rPr>
                <w:rFonts w:ascii="Times New Roman" w:hAnsi="Times New Roman" w:cs="Times New Roman" w:eastAsia="바탕"/>
                <w:b w:val="0"/>
                <w:i w:val="0"/>
                <w:sz w:val="16"/>
              </w:rPr>
              <w:t>102</w:t>
            </w:r>
          </w:p>
        </w:tc>
        <w:tc>
          <w:tcPr>
            <w:tcW w:type="dxa" w:w="1215"/>
          </w:tcPr>
          <w:p>
            <w:pPr>
              <w:spacing w:line="288" w:lineRule="auto"/>
            </w:pPr>
            <w:r/>
            <w:r>
              <w:rPr>
                <w:rFonts w:ascii="Times New Roman" w:hAnsi="Times New Roman" w:cs="Times New Roman" w:eastAsia="바탕"/>
                <w:b w:val="0"/>
                <w:i w:val="0"/>
                <w:sz w:val="16"/>
              </w:rPr>
              <w:t>18</w:t>
            </w:r>
          </w:p>
        </w:tc>
        <w:tc>
          <w:tcPr>
            <w:tcW w:type="dxa" w:w="1215"/>
          </w:tcPr>
          <w:p>
            <w:pPr>
              <w:spacing w:line="288" w:lineRule="auto"/>
            </w:pPr>
            <w:r/>
            <w:r>
              <w:rPr>
                <w:rFonts w:ascii="Times New Roman" w:hAnsi="Times New Roman" w:cs="Times New Roman" w:eastAsia="바탕"/>
                <w:b w:val="0"/>
                <w:i w:val="0"/>
                <w:sz w:val="16"/>
              </w:rPr>
              <w:t>1</w:t>
            </w:r>
          </w:p>
        </w:tc>
        <w:tc>
          <w:tcPr>
            <w:tcW w:type="dxa" w:w="1215"/>
          </w:tcPr>
          <w:p>
            <w:pPr>
              <w:spacing w:line="288" w:lineRule="auto"/>
            </w:pPr>
            <w:r/>
            <w:r>
              <w:rPr>
                <w:rFonts w:ascii="Times New Roman" w:hAnsi="Times New Roman" w:cs="Times New Roman" w:eastAsia="바탕"/>
                <w:b w:val="0"/>
                <w:i w:val="0"/>
                <w:sz w:val="16"/>
              </w:rPr>
              <w:t>1</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1</w:t>
            </w:r>
          </w:p>
        </w:tc>
      </w:tr>
      <w:tr>
        <w:tc>
          <w:tcPr>
            <w:tcW w:type="dxa" w:w="1215"/>
          </w:tcPr>
          <w:p>
            <w:pPr>
              <w:spacing w:line="288" w:lineRule="auto"/>
            </w:pPr>
            <w:r/>
            <w:r>
              <w:rPr>
                <w:rFonts w:ascii="Times New Roman" w:hAnsi="Times New Roman" w:cs="Times New Roman" w:eastAsia="바탕"/>
                <w:b w:val="0"/>
                <w:i w:val="0"/>
                <w:sz w:val="16"/>
              </w:rPr>
              <w:t>Benign twin, 3</w:t>
            </w:r>
          </w:p>
        </w:tc>
        <w:tc>
          <w:tcPr>
            <w:tcW w:type="dxa" w:w="1215"/>
          </w:tcPr>
          <w:p>
            <w:pPr>
              <w:spacing w:line="288" w:lineRule="auto"/>
            </w:pPr>
            <w:r/>
            <w:r>
              <w:rPr>
                <w:rFonts w:ascii="Times New Roman" w:hAnsi="Times New Roman" w:cs="Times New Roman" w:eastAsia="바탕"/>
                <w:b w:val="0"/>
                <w:i w:val="0"/>
                <w:sz w:val="16"/>
              </w:rPr>
              <w:t>118</w:t>
            </w:r>
          </w:p>
        </w:tc>
        <w:tc>
          <w:tcPr>
            <w:tcW w:type="dxa" w:w="1215"/>
          </w:tcPr>
          <w:p>
            <w:pPr>
              <w:spacing w:line="288" w:lineRule="auto"/>
            </w:pPr>
            <w:r/>
            <w:r>
              <w:rPr>
                <w:rFonts w:ascii="Times New Roman" w:hAnsi="Times New Roman" w:cs="Times New Roman" w:eastAsia="바탕"/>
                <w:b w:val="0"/>
                <w:i w:val="0"/>
                <w:sz w:val="16"/>
              </w:rPr>
              <w:t>2</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0</w:t>
            </w:r>
          </w:p>
        </w:tc>
      </w:tr>
      <w:tr>
        <w:tc>
          <w:tcPr>
            <w:tcW w:type="dxa" w:w="1215"/>
          </w:tcPr>
          <w:p>
            <w:pPr>
              <w:spacing w:line="288" w:lineRule="auto"/>
            </w:pPr>
            <w:r/>
            <w:r>
              <w:rPr>
                <w:rFonts w:ascii="Times New Roman" w:hAnsi="Times New Roman" w:cs="Times New Roman" w:eastAsia="바탕"/>
                <w:b w:val="0"/>
                <w:i w:val="0"/>
                <w:sz w:val="16"/>
              </w:rPr>
              <w:t>Benign twin, 6</w:t>
            </w:r>
          </w:p>
        </w:tc>
        <w:tc>
          <w:tcPr>
            <w:tcW w:type="dxa" w:w="1215"/>
          </w:tcPr>
          <w:p>
            <w:pPr>
              <w:spacing w:line="288" w:lineRule="auto"/>
            </w:pPr>
            <w:r/>
            <w:r>
              <w:rPr>
                <w:rFonts w:ascii="Times New Roman" w:hAnsi="Times New Roman" w:cs="Times New Roman" w:eastAsia="바탕"/>
                <w:b w:val="0"/>
                <w:i w:val="0"/>
                <w:sz w:val="16"/>
              </w:rPr>
              <w:t>97</w:t>
            </w:r>
          </w:p>
        </w:tc>
        <w:tc>
          <w:tcPr>
            <w:tcW w:type="dxa" w:w="1215"/>
          </w:tcPr>
          <w:p>
            <w:pPr>
              <w:spacing w:line="288" w:lineRule="auto"/>
            </w:pPr>
            <w:r/>
            <w:r>
              <w:rPr>
                <w:rFonts w:ascii="Times New Roman" w:hAnsi="Times New Roman" w:cs="Times New Roman" w:eastAsia="바탕"/>
                <w:b w:val="0"/>
                <w:i w:val="0"/>
                <w:sz w:val="16"/>
              </w:rPr>
              <w:t>23</w:t>
            </w:r>
          </w:p>
        </w:tc>
        <w:tc>
          <w:tcPr>
            <w:tcW w:type="dxa" w:w="1215"/>
          </w:tcPr>
          <w:p>
            <w:pPr>
              <w:spacing w:line="288" w:lineRule="auto"/>
            </w:pPr>
            <w:r/>
            <w:r>
              <w:rPr>
                <w:rFonts w:ascii="Times New Roman" w:hAnsi="Times New Roman" w:cs="Times New Roman" w:eastAsia="바탕"/>
                <w:b w:val="0"/>
                <w:i w:val="0"/>
                <w:sz w:val="16"/>
              </w:rPr>
              <w:t>16</w:t>
            </w:r>
          </w:p>
        </w:tc>
        <w:tc>
          <w:tcPr>
            <w:tcW w:type="dxa" w:w="1215"/>
          </w:tcPr>
          <w:p>
            <w:pPr>
              <w:spacing w:line="288" w:lineRule="auto"/>
            </w:pPr>
            <w:r/>
            <w:r>
              <w:rPr>
                <w:rFonts w:ascii="Times New Roman" w:hAnsi="Times New Roman" w:cs="Times New Roman" w:eastAsia="바탕"/>
                <w:b w:val="0"/>
                <w:i w:val="0"/>
                <w:sz w:val="16"/>
              </w:rPr>
              <w:t>20</w:t>
            </w:r>
          </w:p>
        </w:tc>
        <w:tc>
          <w:tcPr>
            <w:tcW w:type="dxa" w:w="1215"/>
          </w:tcPr>
          <w:p>
            <w:pPr>
              <w:spacing w:line="288" w:lineRule="auto"/>
            </w:pPr>
            <w:r/>
            <w:r>
              <w:rPr>
                <w:rFonts w:ascii="Times New Roman" w:hAnsi="Times New Roman" w:cs="Times New Roman" w:eastAsia="바탕"/>
                <w:b w:val="0"/>
                <w:i w:val="0"/>
                <w:sz w:val="16"/>
              </w:rPr>
              <w:t>4</w:t>
            </w:r>
          </w:p>
        </w:tc>
        <w:tc>
          <w:tcPr>
            <w:tcW w:type="dxa" w:w="1215"/>
          </w:tcPr>
          <w:p>
            <w:pPr>
              <w:spacing w:line="288" w:lineRule="auto"/>
            </w:pPr>
            <w:r/>
            <w:r>
              <w:rPr>
                <w:rFonts w:ascii="Times New Roman" w:hAnsi="Times New Roman" w:cs="Times New Roman" w:eastAsia="바탕"/>
                <w:b w:val="0"/>
                <w:i w:val="0"/>
                <w:sz w:val="16"/>
              </w:rPr>
              <w:t>16</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4.2 턴 깊이에 따른 CF 표시(N1)</w:t>
      </w:r>
    </w:p>
    <w:p>
      <w:pPr>
        <w:spacing w:line="360" w:lineRule="auto" w:before="0" w:after="0"/>
        <w:ind w:firstLine="184"/>
        <w:jc w:val="both"/>
      </w:pPr>
      <w:r>
        <w:rPr>
          <w:rFonts w:ascii="Times New Roman" w:hAnsi="Times New Roman" w:cs="Times New Roman" w:eastAsia="바탕"/>
          <w:b w:val="0"/>
          <w:i w:val="0"/>
          <w:sz w:val="18"/>
        </w:rPr>
        <w:t>그림 2와 표 7은 결과이다. 위험 대본의 CF 표시 비율은 1턴 14/120(0.117), 3턴 14/120(0.117), 6턴 34/120(0.283)이었고, 6턴 대 1턴 OR은 5.51(95% CI 2.15–13.76)로 N1.1을 충족하였다. 그러나 무해 쌍둥이에서도 1턴 1/120, 3턴 0/120, 6턴 20/120으로 증가하여 OR 9.71(4.85–19.98)을 보였고, 상호작용은 유의하지 않았다(OR 0.47, 95% CI 0.19–1.56, Holm 보정 p = 0.204). 따라서 고정된 규칙에 따라 N1.2와 N1은 충족되지 않았다. 보조 대비인 3턴 대 1턴 OR은 0.88(0.26–2.67)이었다. 사후에 위험 차이(RD) 척도로 보면, 6턴 대 1턴의 증가는 위험 대본 16.7%p(95% CI 7.5–27.5), 무해 쌍둥이 15.8%p(8.3–24.2)로 비슷하였고 두 증가의 차이는 0.8%p(−11.7–14.2)였다(표 7). RD는 사건이 0인 칸에서도 모형의 규제 없이 계산되며, CI는 같은 시나리오 군집 부트스트랩의 백분위 구간이다.</w:t>
      </w:r>
    </w:p>
    <w:p>
      <w:pPr>
        <w:spacing w:line="360" w:lineRule="auto" w:before="0" w:after="0"/>
        <w:ind w:firstLine="184"/>
        <w:jc w:val="both"/>
      </w:pPr>
      <w:r>
        <w:rPr>
          <w:rFonts w:ascii="Times New Roman" w:hAnsi="Times New Roman" w:cs="Times New Roman" w:eastAsia="바탕"/>
          <w:b w:val="0"/>
          <w:i w:val="0"/>
          <w:sz w:val="18"/>
        </w:rPr>
        <w:t>사후 민감도 분석(표 7 하단, 확증 분석 아님): 동점 규칙으로 부여된 CF의 처리만 바꾸어 같은 추정기를 다시 적용하였다. 세 판정자가 모두 유효한 뷰만 쓰거나(S1), 동점 뷰를 판정 불능으로 제외하거나(S2), 동점을 비CF로 처리하면(S3) 무해 쌍둥이의 CF 표시는 1턴 0건, 6턴 4건이 된다(1턴·6턴 분모: S1 80·97, S2 103·104, S3 120·120; 6턴 뷰가 제외된 대화는 고정된 선택 규칙에 따라 1턴 행도 함께 빠진다). 이때 혼합모형의 상호작용 OR은 2.84–3.69(Holm 보정 p = 0.018–0.049)였으나, 무해 군의 1턴 사건이 0건이어서 무해 OR(2.02–2.44)과 상호작용 OR 및 그 구간은 변분 베이즈 적합의 사전분포에 크게 의존하므로 유의성의 근거로 쓰지 않는다. 같은 무해 군 2×2 표에서 정확 조건부 OR은 무한대(95% CI 하한 0.55–0.67), Firth 벌점 로지스틱 OR은 7.7–9.3(프로파일 벌점우도 95% CI 하한 0.81–0.98, 상한 1,033–1,239)으로, 자료는 무해 군의 OR을 사실상 제약하지 못한다(고정 규칙에서는 각각 23.6[3.6–995], 16.3[4.1–148]). 규제가 필요 없는 위험 차이 척도에서는 S1–S3에서 무해 쌍둥이의 증가가 3.3–4.1%p로 줄어 두 군의 증가 차이가 12.7–13.3%p(95% CI 하한 2.5–3.3)였다. 사후에 다시 적합한 시나리오 표준편차(로짓 척도)는 위험 대본에서 2.18–2.19로 커서 조건부 OR(5.51)과 주변 OR(2.99)의 차이를 대체로 설명하고, 무해 쌍둥이에서는 0.89–1.19로 사전분포의 중앙값(1)에 가까워 자료가 이 분산도 거의 제약하지 못하였다. 판정자 출력 실패가 깊이와 내용에 따라 달라지므로 완전 사례 분석도 편향될 수 있으며, 표시를 제거하는 처리가 그 표시가 오탐이었음을 보여 주지도 않는다. 따라서 이 결과들은 인간 기준 없이 어느 처리가 옳은지 확정하지 못한다. 다만 위험 특이적 증가에 대한 결론이 판정자 출력 실패의 처리 방식 하나에 따라 뒤바뀐다는 점은 분명하다.</w:t>
      </w:r>
    </w:p>
    <w:p>
      <w:pPr>
        <w:spacing w:line="360" w:lineRule="auto" w:before="0" w:after="0"/>
        <w:ind w:firstLine="184"/>
        <w:jc w:val="both"/>
      </w:pPr>
      <w:r>
        <w:rPr>
          <w:rFonts w:ascii="Times New Roman" w:hAnsi="Times New Roman" w:cs="Times New Roman" w:eastAsia="바탕"/>
          <w:b w:val="0"/>
          <w:i w:val="0"/>
          <w:sz w:val="18"/>
        </w:rPr>
        <w:t>사후 출력 수리 실험(표 7 하단 수리 1·수리 2, 확증 분석 아님): 주 실행에서 출력이 무효였던 87개 (판정자, 뷰) 쌍(J1 58, J3 29)만 같은 입력으로 다시 판정하고, 나머지 판정은 그대로 둔 채 같은 집계 규칙과 추정기를 적용하였다. 출력 예산만 늘린 수리 1(뷰마다 남은 문맥 길이 안에서 최대 2,048토큰)은 87건 중 63건이 여전히 무효였고, 첫 응답이 길어져 재질문이 문맥을 넘는 경우가 4건에서 12건으로 늘었다. 출력 예산에 더해 vLLM의 JSON 스키마 제약 디코딩을 적용한 수리 2에서는 무효 출력이 8건(J1이 2,048토큰 상한에서 잘린 경우)으로 줄었고, 무해 쌍둥이의 6턴 CF 표시는 20건에서 5건으로, 그중 동점 규칙으로 부여된 표시는 16건에서 0건으로 줄었다. 이때 위험 × 깊이 상호작용의 OR은 0.47에서 2.18(95% CI 0.69–12.30)로 방향이 바뀌었으나 유의하지 않았고(Holm 보정 p = 0.197), 위험 차이 척도에서 무해 쌍둥이의 증가는 4.2%p(0–9.2), 두 군의 증가 차이는 12.5%p(2.5–24.2)였다(수리 1에서는 15.0%p와 1.7%p). 사후 분석이고 무해 군의 사건이 5건뿐이며 인간 기준이 없으므로 어느 척도의 결과도 위험 특이적 증가의 확인으로 보지 않는다. 무해 쌍둥이의 증가 대부분이 판정 출력을 구조적으로 제약하는 수리로 사라졌다는 점은 그 증가의 상당 부분이 판정 절차와 관련되었을 가능성을 시사한다. 그러나 수리는 실패한 87건에만 적용되었으므로 새 절차가 기존의 유효한 판정을 바꾸는지는 알 수 없고, 수리 후 판정도 인간 기준으로 검증된 것은 아니다.</w:t>
      </w:r>
    </w:p>
    <w:p>
      <w:pPr>
        <w:sectPr>
          <w:type w:val="continuous"/>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5220000" cy="1903716"/>
            <wp:docPr id="2" name="Picture 2"/>
            <wp:cNvGraphicFramePr>
              <a:graphicFrameLocks noChangeAspect="1"/>
            </wp:cNvGraphicFramePr>
            <a:graphic>
              <a:graphicData uri="http://schemas.openxmlformats.org/drawingml/2006/picture">
                <pic:pic>
                  <pic:nvPicPr>
                    <pic:cNvPr id="0" name="fig2_depth.jpg"/>
                    <pic:cNvPicPr/>
                  </pic:nvPicPr>
                  <pic:blipFill>
                    <a:blip r:embed="rId10"/>
                    <a:stretch>
                      <a:fillRect/>
                    </a:stretch>
                  </pic:blipFill>
                  <pic:spPr>
                    <a:xfrm>
                      <a:off x="0" y="0"/>
                      <a:ext cx="5220000" cy="1903716"/>
                    </a:xfrm>
                    <a:prstGeom prst="rect"/>
                  </pic:spPr>
                </pic:pic>
              </a:graphicData>
            </a:graphic>
          </wp:inline>
        </w:drawing>
      </w:r>
    </w:p>
    <w:p>
      <w:pPr>
        <w:spacing w:line="312" w:lineRule="auto" w:before="0" w:after="120"/>
      </w:pPr>
      <w:r>
        <w:rPr>
          <w:rFonts w:ascii="Arial" w:hAnsi="Arial" w:cs="Arial" w:eastAsia="맑은 고딕"/>
          <w:b w:val="0"/>
          <w:i w:val="0"/>
          <w:sz w:val="16"/>
        </w:rPr>
        <w:t>Fig. 2 Panel CF-flag rate by prefix depth for (a) localized six-turn risk scripts and (b) their item-paired benign twins; thin lines are models, the thick line is the pooled rate with a 95% scenario-cluster bootstrap band. The dashed line (post hoc) removes flags assigned by the tie rule (16 of 20 at depth 6).</w:t>
      </w:r>
    </w:p>
    <w:p>
      <w:pPr>
        <w:sectPr>
          <w:type w:val="continuous"/>
          <w:pgSz w:w="11906" w:h="16838"/>
          <w:pgMar w:top="2183" w:right="1701" w:bottom="2183" w:left="1701" w:header="567" w:footer="567" w:gutter="0"/>
          <w:cols w:space="340" w:num="1"/>
          <w:docGrid w:linePitch="360"/>
        </w:sectPr>
      </w:pP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7 N1: odds ratios of CF by prefix depth (24 scenarios x 5 models) and the difference between arms in the depth-6 minus depth-1 risk difference (DiD, percentage points). CI: scenario-cluster bootstrap, B = 2,000. Rows S1-S3 and Repair 1-2 and the DiD column are post hoc and not confirmatory. * Few benign events (0 at depth 1 and 4-5 at depth 6 in S1-S3 and Repair 2): these odds ratios and their intervals depend on the variational Bayes prior; exact and Firth estimates are given in Section 4.2.</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1701"/>
        <w:gridCol w:w="1701"/>
        <w:gridCol w:w="1701"/>
        <w:gridCol w:w="1701"/>
        <w:gridCol w:w="1701"/>
      </w:tblGrid>
      <w:tr>
        <w:tc>
          <w:tcPr>
            <w:tcW w:type="dxa" w:w="1701"/>
          </w:tcPr>
          <w:p>
            <w:pPr>
              <w:spacing w:line="288" w:lineRule="auto"/>
            </w:pPr>
            <w:r/>
            <w:r>
              <w:rPr>
                <w:rFonts w:ascii="Times New Roman" w:hAnsi="Times New Roman" w:cs="Times New Roman" w:eastAsia="바탕"/>
                <w:b/>
                <w:i w:val="0"/>
                <w:sz w:val="16"/>
              </w:rPr>
              <w:t>Analysis</w:t>
            </w:r>
          </w:p>
        </w:tc>
        <w:tc>
          <w:tcPr>
            <w:tcW w:type="dxa" w:w="1701"/>
          </w:tcPr>
          <w:p>
            <w:pPr>
              <w:spacing w:line="288" w:lineRule="auto"/>
            </w:pPr>
            <w:r/>
            <w:r>
              <w:rPr>
                <w:rFonts w:ascii="Times New Roman" w:hAnsi="Times New Roman" w:cs="Times New Roman" w:eastAsia="바탕"/>
                <w:b/>
                <w:i w:val="0"/>
                <w:sz w:val="16"/>
              </w:rPr>
              <w:t>Risk OR (95% CI)</w:t>
            </w:r>
          </w:p>
        </w:tc>
        <w:tc>
          <w:tcPr>
            <w:tcW w:type="dxa" w:w="1701"/>
          </w:tcPr>
          <w:p>
            <w:pPr>
              <w:spacing w:line="288" w:lineRule="auto"/>
            </w:pPr>
            <w:r/>
            <w:r>
              <w:rPr>
                <w:rFonts w:ascii="Times New Roman" w:hAnsi="Times New Roman" w:cs="Times New Roman" w:eastAsia="바탕"/>
                <w:b/>
                <w:i w:val="0"/>
                <w:sz w:val="16"/>
              </w:rPr>
              <w:t>Benign OR (95% CI)</w:t>
            </w:r>
          </w:p>
        </w:tc>
        <w:tc>
          <w:tcPr>
            <w:tcW w:type="dxa" w:w="1701"/>
          </w:tcPr>
          <w:p>
            <w:pPr>
              <w:spacing w:line="288" w:lineRule="auto"/>
            </w:pPr>
            <w:r/>
            <w:r>
              <w:rPr>
                <w:rFonts w:ascii="Times New Roman" w:hAnsi="Times New Roman" w:cs="Times New Roman" w:eastAsia="바탕"/>
                <w:b/>
                <w:i w:val="0"/>
                <w:sz w:val="16"/>
              </w:rPr>
              <w:t>Interaction OR, Holm p</w:t>
            </w:r>
          </w:p>
        </w:tc>
        <w:tc>
          <w:tcPr>
            <w:tcW w:type="dxa" w:w="1701"/>
          </w:tcPr>
          <w:p>
            <w:pPr>
              <w:spacing w:line="288" w:lineRule="auto"/>
            </w:pPr>
            <w:r/>
            <w:r>
              <w:rPr>
                <w:rFonts w:ascii="Times New Roman" w:hAnsi="Times New Roman" w:cs="Times New Roman" w:eastAsia="바탕"/>
                <w:b/>
                <w:i w:val="0"/>
                <w:sz w:val="16"/>
              </w:rPr>
              <w:t>DiD, %p (95% CI)</w:t>
            </w:r>
          </w:p>
        </w:tc>
      </w:tr>
      <w:tr>
        <w:tc>
          <w:tcPr>
            <w:tcW w:type="dxa" w:w="1701"/>
          </w:tcPr>
          <w:p>
            <w:pPr>
              <w:spacing w:line="288" w:lineRule="auto"/>
            </w:pPr>
            <w:r/>
            <w:r>
              <w:rPr>
                <w:rFonts w:ascii="Times New Roman" w:hAnsi="Times New Roman" w:cs="Times New Roman" w:eastAsia="바탕"/>
                <w:b w:val="0"/>
                <w:i w:val="0"/>
                <w:sz w:val="16"/>
              </w:rPr>
              <w:t>Fixed rules (N1.1 met; N1.2 not met)</w:t>
            </w:r>
          </w:p>
        </w:tc>
        <w:tc>
          <w:tcPr>
            <w:tcW w:type="dxa" w:w="1701"/>
          </w:tcPr>
          <w:p>
            <w:pPr>
              <w:spacing w:line="288" w:lineRule="auto"/>
            </w:pPr>
            <w:r/>
            <w:r>
              <w:rPr>
                <w:rFonts w:ascii="Times New Roman" w:hAnsi="Times New Roman" w:cs="Times New Roman" w:eastAsia="바탕"/>
                <w:b w:val="0"/>
                <w:i w:val="0"/>
                <w:sz w:val="16"/>
              </w:rPr>
              <w:t>5.51 (2.15-13.76)</w:t>
            </w:r>
          </w:p>
        </w:tc>
        <w:tc>
          <w:tcPr>
            <w:tcW w:type="dxa" w:w="1701"/>
          </w:tcPr>
          <w:p>
            <w:pPr>
              <w:spacing w:line="288" w:lineRule="auto"/>
            </w:pPr>
            <w:r/>
            <w:r>
              <w:rPr>
                <w:rFonts w:ascii="Times New Roman" w:hAnsi="Times New Roman" w:cs="Times New Roman" w:eastAsia="바탕"/>
                <w:b w:val="0"/>
                <w:i w:val="0"/>
                <w:sz w:val="16"/>
              </w:rPr>
              <w:t>9.71 (4.85-19.98)</w:t>
            </w:r>
          </w:p>
        </w:tc>
        <w:tc>
          <w:tcPr>
            <w:tcW w:type="dxa" w:w="1701"/>
          </w:tcPr>
          <w:p>
            <w:pPr>
              <w:spacing w:line="288" w:lineRule="auto"/>
            </w:pPr>
            <w:r/>
            <w:r>
              <w:rPr>
                <w:rFonts w:ascii="Times New Roman" w:hAnsi="Times New Roman" w:cs="Times New Roman" w:eastAsia="바탕"/>
                <w:b w:val="0"/>
                <w:i w:val="0"/>
                <w:sz w:val="16"/>
              </w:rPr>
              <w:t>0.47, 0.204</w:t>
            </w:r>
          </w:p>
        </w:tc>
        <w:tc>
          <w:tcPr>
            <w:tcW w:type="dxa" w:w="1701"/>
          </w:tcPr>
          <w:p>
            <w:pPr>
              <w:spacing w:line="288" w:lineRule="auto"/>
            </w:pPr>
            <w:r/>
            <w:r>
              <w:rPr>
                <w:rFonts w:ascii="Times New Roman" w:hAnsi="Times New Roman" w:cs="Times New Roman" w:eastAsia="바탕"/>
                <w:b w:val="0"/>
                <w:i w:val="0"/>
                <w:sz w:val="16"/>
              </w:rPr>
              <w:t>0.8 (−11.7 to 14.2)</w:t>
            </w:r>
          </w:p>
        </w:tc>
      </w:tr>
      <w:tr>
        <w:tc>
          <w:tcPr>
            <w:tcW w:type="dxa" w:w="1701"/>
          </w:tcPr>
          <w:p>
            <w:pPr>
              <w:spacing w:line="288" w:lineRule="auto"/>
            </w:pPr>
            <w:r/>
            <w:r>
              <w:rPr>
                <w:rFonts w:ascii="Times New Roman" w:hAnsi="Times New Roman" w:cs="Times New Roman" w:eastAsia="바탕"/>
                <w:b w:val="0"/>
                <w:i w:val="0"/>
                <w:sz w:val="16"/>
              </w:rPr>
              <w:t>GEE, marginal (sensitivity)</w:t>
            </w:r>
          </w:p>
        </w:tc>
        <w:tc>
          <w:tcPr>
            <w:tcW w:type="dxa" w:w="1701"/>
          </w:tcPr>
          <w:p>
            <w:pPr>
              <w:spacing w:line="288" w:lineRule="auto"/>
            </w:pPr>
            <w:r/>
            <w:r>
              <w:rPr>
                <w:rFonts w:ascii="Times New Roman" w:hAnsi="Times New Roman" w:cs="Times New Roman" w:eastAsia="바탕"/>
                <w:b w:val="0"/>
                <w:i w:val="0"/>
                <w:sz w:val="16"/>
              </w:rPr>
              <w:t>2.99 (1.42-6.31)</w:t>
            </w:r>
          </w:p>
        </w:tc>
        <w:tc>
          <w:tcPr>
            <w:tcW w:type="dxa" w:w="1701"/>
          </w:tcPr>
          <w:p>
            <w:pPr>
              <w:spacing w:line="288" w:lineRule="auto"/>
            </w:pPr>
            <w:r/>
            <w:r>
              <w:rPr>
                <w:rFonts w:ascii="Times New Roman" w:hAnsi="Times New Roman" w:cs="Times New Roman" w:eastAsia="바탕"/>
                <w:b w:val="0"/>
                <w:i w:val="0"/>
                <w:sz w:val="16"/>
              </w:rPr>
              <w:t>-</w:t>
            </w:r>
          </w:p>
        </w:tc>
        <w:tc>
          <w:tcPr>
            <w:tcW w:type="dxa" w:w="1701"/>
          </w:tcPr>
          <w:p>
            <w:pPr>
              <w:spacing w:line="288" w:lineRule="auto"/>
            </w:pPr>
            <w:r/>
            <w:r>
              <w:rPr>
                <w:rFonts w:ascii="Times New Roman" w:hAnsi="Times New Roman" w:cs="Times New Roman" w:eastAsia="바탕"/>
                <w:b w:val="0"/>
                <w:i w:val="0"/>
                <w:sz w:val="16"/>
              </w:rPr>
              <w:t>-</w:t>
            </w:r>
          </w:p>
        </w:tc>
        <w:tc>
          <w:tcPr>
            <w:tcW w:type="dxa" w:w="1701"/>
          </w:tcPr>
          <w:p>
            <w:pPr>
              <w:spacing w:line="288" w:lineRule="auto"/>
            </w:pPr>
            <w:r/>
            <w:r>
              <w:rPr>
                <w:rFonts w:ascii="Times New Roman" w:hAnsi="Times New Roman" w:cs="Times New Roman" w:eastAsia="바탕"/>
                <w:b w:val="0"/>
                <w:i w:val="0"/>
                <w:sz w:val="16"/>
              </w:rPr>
              <w:t>-</w:t>
            </w:r>
          </w:p>
        </w:tc>
      </w:tr>
      <w:tr>
        <w:tc>
          <w:tcPr>
            <w:tcW w:type="dxa" w:w="1701"/>
          </w:tcPr>
          <w:p>
            <w:pPr>
              <w:spacing w:line="288" w:lineRule="auto"/>
            </w:pPr>
            <w:r/>
            <w:r>
              <w:rPr>
                <w:rFonts w:ascii="Times New Roman" w:hAnsi="Times New Roman" w:cs="Times New Roman" w:eastAsia="바탕"/>
                <w:b w:val="0"/>
                <w:i w:val="0"/>
                <w:sz w:val="16"/>
              </w:rPr>
              <w:t>Risk, 3 vs 1 turn (secondary)</w:t>
            </w:r>
          </w:p>
        </w:tc>
        <w:tc>
          <w:tcPr>
            <w:tcW w:type="dxa" w:w="1701"/>
          </w:tcPr>
          <w:p>
            <w:pPr>
              <w:spacing w:line="288" w:lineRule="auto"/>
            </w:pPr>
            <w:r/>
            <w:r>
              <w:rPr>
                <w:rFonts w:ascii="Times New Roman" w:hAnsi="Times New Roman" w:cs="Times New Roman" w:eastAsia="바탕"/>
                <w:b w:val="0"/>
                <w:i w:val="0"/>
                <w:sz w:val="16"/>
              </w:rPr>
              <w:t>0.88 (0.26-2.67)</w:t>
            </w:r>
          </w:p>
        </w:tc>
        <w:tc>
          <w:tcPr>
            <w:tcW w:type="dxa" w:w="1701"/>
          </w:tcPr>
          <w:p>
            <w:pPr>
              <w:spacing w:line="288" w:lineRule="auto"/>
            </w:pPr>
            <w:r/>
            <w:r>
              <w:rPr>
                <w:rFonts w:ascii="Times New Roman" w:hAnsi="Times New Roman" w:cs="Times New Roman" w:eastAsia="바탕"/>
                <w:b w:val="0"/>
                <w:i w:val="0"/>
                <w:sz w:val="16"/>
              </w:rPr>
              <w:t>-</w:t>
            </w:r>
          </w:p>
        </w:tc>
        <w:tc>
          <w:tcPr>
            <w:tcW w:type="dxa" w:w="1701"/>
          </w:tcPr>
          <w:p>
            <w:pPr>
              <w:spacing w:line="288" w:lineRule="auto"/>
            </w:pPr>
            <w:r/>
            <w:r>
              <w:rPr>
                <w:rFonts w:ascii="Times New Roman" w:hAnsi="Times New Roman" w:cs="Times New Roman" w:eastAsia="바탕"/>
                <w:b w:val="0"/>
                <w:i w:val="0"/>
                <w:sz w:val="16"/>
              </w:rPr>
              <w:t>-</w:t>
            </w:r>
          </w:p>
        </w:tc>
        <w:tc>
          <w:tcPr>
            <w:tcW w:type="dxa" w:w="1701"/>
          </w:tcPr>
          <w:p>
            <w:pPr>
              <w:spacing w:line="288" w:lineRule="auto"/>
            </w:pPr>
            <w:r/>
            <w:r>
              <w:rPr>
                <w:rFonts w:ascii="Times New Roman" w:hAnsi="Times New Roman" w:cs="Times New Roman" w:eastAsia="바탕"/>
                <w:b w:val="0"/>
                <w:i w:val="0"/>
                <w:sz w:val="16"/>
              </w:rPr>
              <w:t>-</w:t>
            </w:r>
          </w:p>
        </w:tc>
      </w:tr>
      <w:tr>
        <w:tc>
          <w:tcPr>
            <w:tcW w:type="dxa" w:w="1701"/>
          </w:tcPr>
          <w:p>
            <w:pPr>
              <w:spacing w:line="288" w:lineRule="auto"/>
            </w:pPr>
            <w:r/>
            <w:r>
              <w:rPr>
                <w:rFonts w:ascii="Times New Roman" w:hAnsi="Times New Roman" w:cs="Times New Roman" w:eastAsia="바탕"/>
                <w:b w:val="0"/>
                <w:i w:val="0"/>
                <w:sz w:val="16"/>
              </w:rPr>
              <w:t>S1 complete panels only</w:t>
            </w:r>
          </w:p>
        </w:tc>
        <w:tc>
          <w:tcPr>
            <w:tcW w:type="dxa" w:w="1701"/>
          </w:tcPr>
          <w:p>
            <w:pPr>
              <w:spacing w:line="288" w:lineRule="auto"/>
            </w:pPr>
            <w:r/>
            <w:r>
              <w:rPr>
                <w:rFonts w:ascii="Times New Roman" w:hAnsi="Times New Roman" w:cs="Times New Roman" w:eastAsia="바탕"/>
                <w:b w:val="0"/>
                <w:i w:val="0"/>
                <w:sz w:val="16"/>
              </w:rPr>
              <w:t>5.37 (2.11-13.87)</w:t>
            </w:r>
          </w:p>
        </w:tc>
        <w:tc>
          <w:tcPr>
            <w:tcW w:type="dxa" w:w="1701"/>
          </w:tcPr>
          <w:p>
            <w:pPr>
              <w:spacing w:line="288" w:lineRule="auto"/>
            </w:pPr>
            <w:r/>
            <w:r>
              <w:rPr>
                <w:rFonts w:ascii="Times New Roman" w:hAnsi="Times New Roman" w:cs="Times New Roman" w:eastAsia="바탕"/>
                <w:b w:val="0"/>
                <w:i w:val="0"/>
                <w:sz w:val="16"/>
              </w:rPr>
              <w:t>2.02 (1.02-5.13) *</w:t>
            </w:r>
          </w:p>
        </w:tc>
        <w:tc>
          <w:tcPr>
            <w:tcW w:type="dxa" w:w="1701"/>
          </w:tcPr>
          <w:p>
            <w:pPr>
              <w:spacing w:line="288" w:lineRule="auto"/>
            </w:pPr>
            <w:r/>
            <w:r>
              <w:rPr>
                <w:rFonts w:ascii="Times New Roman" w:hAnsi="Times New Roman" w:cs="Times New Roman" w:eastAsia="바탕"/>
                <w:b w:val="0"/>
                <w:i w:val="0"/>
                <w:sz w:val="16"/>
              </w:rPr>
              <w:t>3.69, 0.018</w:t>
            </w:r>
          </w:p>
        </w:tc>
        <w:tc>
          <w:tcPr>
            <w:tcW w:type="dxa" w:w="1701"/>
          </w:tcPr>
          <w:p>
            <w:pPr>
              <w:spacing w:line="288" w:lineRule="auto"/>
            </w:pPr>
            <w:r/>
            <w:r>
              <w:rPr>
                <w:rFonts w:ascii="Times New Roman" w:hAnsi="Times New Roman" w:cs="Times New Roman" w:eastAsia="바탕"/>
                <w:b w:val="0"/>
                <w:i w:val="0"/>
                <w:sz w:val="16"/>
              </w:rPr>
              <w:t>12.7 (2.5-24.2)</w:t>
            </w:r>
          </w:p>
        </w:tc>
      </w:tr>
      <w:tr>
        <w:tc>
          <w:tcPr>
            <w:tcW w:type="dxa" w:w="1701"/>
          </w:tcPr>
          <w:p>
            <w:pPr>
              <w:spacing w:line="288" w:lineRule="auto"/>
            </w:pPr>
            <w:r/>
            <w:r>
              <w:rPr>
                <w:rFonts w:ascii="Times New Roman" w:hAnsi="Times New Roman" w:cs="Times New Roman" w:eastAsia="바탕"/>
                <w:b w:val="0"/>
                <w:i w:val="0"/>
                <w:sz w:val="16"/>
              </w:rPr>
              <w:t>S2 tie views excluded</w:t>
            </w:r>
          </w:p>
        </w:tc>
        <w:tc>
          <w:tcPr>
            <w:tcW w:type="dxa" w:w="1701"/>
          </w:tcPr>
          <w:p>
            <w:pPr>
              <w:spacing w:line="288" w:lineRule="auto"/>
            </w:pPr>
            <w:r/>
            <w:r>
              <w:rPr>
                <w:rFonts w:ascii="Times New Roman" w:hAnsi="Times New Roman" w:cs="Times New Roman" w:eastAsia="바탕"/>
                <w:b w:val="0"/>
                <w:i w:val="0"/>
                <w:sz w:val="16"/>
              </w:rPr>
              <w:t>5.51 (2.15-13.76)</w:t>
            </w:r>
          </w:p>
        </w:tc>
        <w:tc>
          <w:tcPr>
            <w:tcW w:type="dxa" w:w="1701"/>
          </w:tcPr>
          <w:p>
            <w:pPr>
              <w:spacing w:line="288" w:lineRule="auto"/>
            </w:pPr>
            <w:r/>
            <w:r>
              <w:rPr>
                <w:rFonts w:ascii="Times New Roman" w:hAnsi="Times New Roman" w:cs="Times New Roman" w:eastAsia="바탕"/>
                <w:b w:val="0"/>
                <w:i w:val="0"/>
                <w:sz w:val="16"/>
              </w:rPr>
              <w:t>2.44 (1.21-6.58) *</w:t>
            </w:r>
          </w:p>
        </w:tc>
        <w:tc>
          <w:tcPr>
            <w:tcW w:type="dxa" w:w="1701"/>
          </w:tcPr>
          <w:p>
            <w:pPr>
              <w:spacing w:line="288" w:lineRule="auto"/>
            </w:pPr>
            <w:r/>
            <w:r>
              <w:rPr>
                <w:rFonts w:ascii="Times New Roman" w:hAnsi="Times New Roman" w:cs="Times New Roman" w:eastAsia="바탕"/>
                <w:b w:val="0"/>
                <w:i w:val="0"/>
                <w:sz w:val="16"/>
              </w:rPr>
              <w:t>2.93, 0.045</w:t>
            </w:r>
          </w:p>
        </w:tc>
        <w:tc>
          <w:tcPr>
            <w:tcW w:type="dxa" w:w="1701"/>
          </w:tcPr>
          <w:p>
            <w:pPr>
              <w:spacing w:line="288" w:lineRule="auto"/>
            </w:pPr>
            <w:r/>
            <w:r>
              <w:rPr>
                <w:rFonts w:ascii="Times New Roman" w:hAnsi="Times New Roman" w:cs="Times New Roman" w:eastAsia="바탕"/>
                <w:b w:val="0"/>
                <w:i w:val="0"/>
                <w:sz w:val="16"/>
              </w:rPr>
              <w:t>12.8 (2.8-24.0)</w:t>
            </w:r>
          </w:p>
        </w:tc>
      </w:tr>
      <w:tr>
        <w:tc>
          <w:tcPr>
            <w:tcW w:type="dxa" w:w="1701"/>
          </w:tcPr>
          <w:p>
            <w:pPr>
              <w:spacing w:line="288" w:lineRule="auto"/>
            </w:pPr>
            <w:r/>
            <w:r>
              <w:rPr>
                <w:rFonts w:ascii="Times New Roman" w:hAnsi="Times New Roman" w:cs="Times New Roman" w:eastAsia="바탕"/>
                <w:b w:val="0"/>
                <w:i w:val="0"/>
                <w:sz w:val="16"/>
              </w:rPr>
              <w:t>S3 ties as non-CF</w:t>
            </w:r>
          </w:p>
        </w:tc>
        <w:tc>
          <w:tcPr>
            <w:tcW w:type="dxa" w:w="1701"/>
          </w:tcPr>
          <w:p>
            <w:pPr>
              <w:spacing w:line="288" w:lineRule="auto"/>
            </w:pPr>
            <w:r/>
            <w:r>
              <w:rPr>
                <w:rFonts w:ascii="Times New Roman" w:hAnsi="Times New Roman" w:cs="Times New Roman" w:eastAsia="바탕"/>
                <w:b w:val="0"/>
                <w:i w:val="0"/>
                <w:sz w:val="16"/>
              </w:rPr>
              <w:t>5.51 (2.15-13.76)</w:t>
            </w:r>
          </w:p>
        </w:tc>
        <w:tc>
          <w:tcPr>
            <w:tcW w:type="dxa" w:w="1701"/>
          </w:tcPr>
          <w:p>
            <w:pPr>
              <w:spacing w:line="288" w:lineRule="auto"/>
            </w:pPr>
            <w:r/>
            <w:r>
              <w:rPr>
                <w:rFonts w:ascii="Times New Roman" w:hAnsi="Times New Roman" w:cs="Times New Roman" w:eastAsia="바탕"/>
                <w:b w:val="0"/>
                <w:i w:val="0"/>
                <w:sz w:val="16"/>
              </w:rPr>
              <w:t>2.44 (1.22-6.61) *</w:t>
            </w:r>
          </w:p>
        </w:tc>
        <w:tc>
          <w:tcPr>
            <w:tcW w:type="dxa" w:w="1701"/>
          </w:tcPr>
          <w:p>
            <w:pPr>
              <w:spacing w:line="288" w:lineRule="auto"/>
            </w:pPr>
            <w:r/>
            <w:r>
              <w:rPr>
                <w:rFonts w:ascii="Times New Roman" w:hAnsi="Times New Roman" w:cs="Times New Roman" w:eastAsia="바탕"/>
                <w:b w:val="0"/>
                <w:i w:val="0"/>
                <w:sz w:val="16"/>
              </w:rPr>
              <w:t>2.84, 0.049</w:t>
            </w:r>
          </w:p>
        </w:tc>
        <w:tc>
          <w:tcPr>
            <w:tcW w:type="dxa" w:w="1701"/>
          </w:tcPr>
          <w:p>
            <w:pPr>
              <w:spacing w:line="288" w:lineRule="auto"/>
            </w:pPr>
            <w:r/>
            <w:r>
              <w:rPr>
                <w:rFonts w:ascii="Times New Roman" w:hAnsi="Times New Roman" w:cs="Times New Roman" w:eastAsia="바탕"/>
                <w:b w:val="0"/>
                <w:i w:val="0"/>
                <w:sz w:val="16"/>
              </w:rPr>
              <w:t>13.3 (3.3-24.2)</w:t>
            </w:r>
          </w:p>
        </w:tc>
      </w:tr>
      <w:tr>
        <w:tc>
          <w:tcPr>
            <w:tcW w:type="dxa" w:w="1701"/>
          </w:tcPr>
          <w:p>
            <w:pPr>
              <w:spacing w:line="288" w:lineRule="auto"/>
            </w:pPr>
            <w:r/>
            <w:r>
              <w:rPr>
                <w:rFonts w:ascii="Times New Roman" w:hAnsi="Times New Roman" w:cs="Times New Roman" w:eastAsia="바탕"/>
                <w:b w:val="0"/>
                <w:i w:val="0"/>
                <w:sz w:val="16"/>
              </w:rPr>
              <w:t>Repair 1: output budget</w:t>
            </w:r>
          </w:p>
        </w:tc>
        <w:tc>
          <w:tcPr>
            <w:tcW w:type="dxa" w:w="1701"/>
          </w:tcPr>
          <w:p>
            <w:pPr>
              <w:spacing w:line="288" w:lineRule="auto"/>
            </w:pPr>
            <w:r/>
            <w:r>
              <w:rPr>
                <w:rFonts w:ascii="Times New Roman" w:hAnsi="Times New Roman" w:cs="Times New Roman" w:eastAsia="바탕"/>
                <w:b w:val="0"/>
                <w:i w:val="0"/>
                <w:sz w:val="16"/>
              </w:rPr>
              <w:t>5.51 (2.15-13.76)</w:t>
            </w:r>
          </w:p>
        </w:tc>
        <w:tc>
          <w:tcPr>
            <w:tcW w:type="dxa" w:w="1701"/>
          </w:tcPr>
          <w:p>
            <w:pPr>
              <w:spacing w:line="288" w:lineRule="auto"/>
            </w:pPr>
            <w:r/>
            <w:r>
              <w:rPr>
                <w:rFonts w:ascii="Times New Roman" w:hAnsi="Times New Roman" w:cs="Times New Roman" w:eastAsia="바탕"/>
                <w:b w:val="0"/>
                <w:i w:val="0"/>
                <w:sz w:val="16"/>
              </w:rPr>
              <w:t>9.29 (4.42-19.81)</w:t>
            </w:r>
          </w:p>
        </w:tc>
        <w:tc>
          <w:tcPr>
            <w:tcW w:type="dxa" w:w="1701"/>
          </w:tcPr>
          <w:p>
            <w:pPr>
              <w:spacing w:line="288" w:lineRule="auto"/>
            </w:pPr>
            <w:r/>
            <w:r>
              <w:rPr>
                <w:rFonts w:ascii="Times New Roman" w:hAnsi="Times New Roman" w:cs="Times New Roman" w:eastAsia="바탕"/>
                <w:b w:val="0"/>
                <w:i w:val="0"/>
                <w:sz w:val="16"/>
              </w:rPr>
              <w:t>0.50, 0.266</w:t>
            </w:r>
          </w:p>
        </w:tc>
        <w:tc>
          <w:tcPr>
            <w:tcW w:type="dxa" w:w="1701"/>
          </w:tcPr>
          <w:p>
            <w:pPr>
              <w:spacing w:line="288" w:lineRule="auto"/>
            </w:pPr>
            <w:r/>
            <w:r>
              <w:rPr>
                <w:rFonts w:ascii="Times New Roman" w:hAnsi="Times New Roman" w:cs="Times New Roman" w:eastAsia="바탕"/>
                <w:b w:val="0"/>
                <w:i w:val="0"/>
                <w:sz w:val="16"/>
              </w:rPr>
              <w:t>1.7 (−11.7 to 15.0)</w:t>
            </w:r>
          </w:p>
        </w:tc>
      </w:tr>
      <w:tr>
        <w:tc>
          <w:tcPr>
            <w:tcW w:type="dxa" w:w="1701"/>
          </w:tcPr>
          <w:p>
            <w:pPr>
              <w:spacing w:line="288" w:lineRule="auto"/>
            </w:pPr>
            <w:r/>
            <w:r>
              <w:rPr>
                <w:rFonts w:ascii="Times New Roman" w:hAnsi="Times New Roman" w:cs="Times New Roman" w:eastAsia="바탕"/>
                <w:b w:val="0"/>
                <w:i w:val="0"/>
                <w:sz w:val="16"/>
              </w:rPr>
              <w:t>Repair 2: budget + JSON-schema decoding</w:t>
            </w:r>
          </w:p>
        </w:tc>
        <w:tc>
          <w:tcPr>
            <w:tcW w:type="dxa" w:w="1701"/>
          </w:tcPr>
          <w:p>
            <w:pPr>
              <w:spacing w:line="288" w:lineRule="auto"/>
            </w:pPr>
            <w:r/>
            <w:r>
              <w:rPr>
                <w:rFonts w:ascii="Times New Roman" w:hAnsi="Times New Roman" w:cs="Times New Roman" w:eastAsia="바탕"/>
                <w:b w:val="0"/>
                <w:i w:val="0"/>
                <w:sz w:val="16"/>
              </w:rPr>
              <w:t>5.51 (2.15-13.76)</w:t>
            </w:r>
          </w:p>
        </w:tc>
        <w:tc>
          <w:tcPr>
            <w:tcW w:type="dxa" w:w="1701"/>
          </w:tcPr>
          <w:p>
            <w:pPr>
              <w:spacing w:line="288" w:lineRule="auto"/>
            </w:pPr>
            <w:r/>
            <w:r>
              <w:rPr>
                <w:rFonts w:ascii="Times New Roman" w:hAnsi="Times New Roman" w:cs="Times New Roman" w:eastAsia="바탕"/>
                <w:b w:val="0"/>
                <w:i w:val="0"/>
                <w:sz w:val="16"/>
              </w:rPr>
              <w:t>3.09 (0.67-7.92) *</w:t>
            </w:r>
          </w:p>
        </w:tc>
        <w:tc>
          <w:tcPr>
            <w:tcW w:type="dxa" w:w="1701"/>
          </w:tcPr>
          <w:p>
            <w:pPr>
              <w:spacing w:line="288" w:lineRule="auto"/>
            </w:pPr>
            <w:r/>
            <w:r>
              <w:rPr>
                <w:rFonts w:ascii="Times New Roman" w:hAnsi="Times New Roman" w:cs="Times New Roman" w:eastAsia="바탕"/>
                <w:b w:val="0"/>
                <w:i w:val="0"/>
                <w:sz w:val="16"/>
              </w:rPr>
              <w:t>2.18, 0.197</w:t>
            </w:r>
          </w:p>
        </w:tc>
        <w:tc>
          <w:tcPr>
            <w:tcW w:type="dxa" w:w="1701"/>
          </w:tcPr>
          <w:p>
            <w:pPr>
              <w:spacing w:line="288" w:lineRule="auto"/>
            </w:pPr>
            <w:r/>
            <w:r>
              <w:rPr>
                <w:rFonts w:ascii="Times New Roman" w:hAnsi="Times New Roman" w:cs="Times New Roman" w:eastAsia="바탕"/>
                <w:b w:val="0"/>
                <w:i w:val="0"/>
                <w:sz w:val="16"/>
              </w:rPr>
              <w:t>12.5 (2.5-24.2)</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4.3 직역 대 현지화(N2)</w:t>
      </w:r>
    </w:p>
    <w:p>
      <w:pPr>
        <w:spacing w:line="360" w:lineRule="auto" w:before="0" w:after="0"/>
        <w:ind w:firstLine="184"/>
        <w:jc w:val="both"/>
      </w:pPr>
      <w:r>
        <w:rPr>
          <w:rFonts w:ascii="Times New Roman" w:hAnsi="Times New Roman" w:cs="Times New Roman" w:eastAsia="바탕"/>
          <w:b w:val="0"/>
          <w:i w:val="0"/>
          <w:sz w:val="18"/>
        </w:rPr>
        <w:t>36쌍 × 5모델(180쌍)에서 대화 중 CF 표시 비율은 직역 58/180(0.322), 현지화 58/180(0.322)으로 같았고, 한쪽에서만 표시된 쌍도 15쌍씩으로 같았다. 짝지은 차이는 0.000(95% CI −0.060–0.060, 90% CI −0.050–0.050)으로 차이의 기준을 충족하지 않았고, 90% CI가 ±0.03 경계를 벗어나므로 TOST로 동등성도 보이지 못하였다(두 단측 검정 p = 0.163). 차이도 동등성도 확인되지 않았다. 문항마다 한 가지 재작성만 적용하였으므로 재작성 구성요소별 효과는 분리할 수 없다.</w:t>
      </w:r>
    </w:p>
    <w:p>
      <w:pPr>
        <w:spacing w:line="360" w:lineRule="auto" w:before="120" w:after="40"/>
      </w:pPr>
      <w:r>
        <w:rPr>
          <w:rFonts w:ascii="Arial" w:hAnsi="Arial" w:cs="Arial" w:eastAsia="맑은 고딕"/>
          <w:b/>
          <w:i w:val="0"/>
          <w:sz w:val="19"/>
        </w:rPr>
        <w:t>4.4 판정자 간 일치도(N3)</w:t>
      </w:r>
    </w:p>
    <w:p>
      <w:pPr>
        <w:spacing w:line="360" w:lineRule="auto" w:before="0" w:after="0"/>
        <w:ind w:firstLine="184"/>
        <w:jc w:val="both"/>
      </w:pPr>
      <w:r>
        <w:rPr>
          <w:rFonts w:ascii="Times New Roman" w:hAnsi="Times New Roman" w:cs="Times New Roman" w:eastAsia="바탕"/>
          <w:b w:val="0"/>
          <w:i w:val="0"/>
          <w:sz w:val="18"/>
        </w:rPr>
        <w:t>위험 문항 뷰 3,195개(20개 실행)에서 차원별 AC2는 D1 0.627, D2 0.667, D3 0.665, D4 0.487, D5 0.444, D6 0.694로 모두 0.70 미만이었다(그림 3, 표 8). D4(대안 제시)와 D5(자원 연결)는 사전에 정한 0.50 기준에도 미달하였다. CF 표시의 판정자 쌍 일치율은 0.823으로 0.80을 넘었으나, 이는 공통의 음성 판정이 많은 데서 비롯된 값이다. 양성 특이 일치도는 0.536, 음성 특이 일치도는 0.890이었다. 확률적 반복 실행의 뷰는 같은 문항에 속해 서로 독립이 아니므로, 대화 단위 군집 부트스트랩으로 CI를 다시 계산하였고(예: D1 0.586–0.665; 원래의 뷰 단위 CI 0.605–0.649), 주 실행만 쓴 민감도 분석에서도 AC2는 0.451–0.695로 비슷하였다(D4는 0.504로 0.50을 약간 넘었다). N3.2의 사전 문구는 ‘평가 대상과 같은 계열의 판정자를 제외’하는 것이었으나, 본 설계에는 그런 판정자가 없어 이 비교는 적용할 수 없다. 대신 판정자 계열을 하나씩 제외한 민감도 분석에서는 J1을 제외할 때 AC2가 차원별로 0.17–0.22 높아져, J1이 다른 두 판정자와 가장 크게 어긋났다. N3.1이 충족되지 않으므로 N3의 판독과 전체 판독은 N3.2의 처리와 무관하게 같다.</w:t>
      </w:r>
    </w:p>
    <w:p>
      <w:pPr>
        <w:sectPr>
          <w:type w:val="continuous"/>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3420000" cy="2382949"/>
            <wp:docPr id="3" name="Picture 3"/>
            <wp:cNvGraphicFramePr>
              <a:graphicFrameLocks noChangeAspect="1"/>
            </wp:cNvGraphicFramePr>
            <a:graphic>
              <a:graphicData uri="http://schemas.openxmlformats.org/drawingml/2006/picture">
                <pic:pic>
                  <pic:nvPicPr>
                    <pic:cNvPr id="0" name="fig3_reliability.jpg"/>
                    <pic:cNvPicPr/>
                  </pic:nvPicPr>
                  <pic:blipFill>
                    <a:blip r:embed="rId11"/>
                    <a:stretch>
                      <a:fillRect/>
                    </a:stretch>
                  </pic:blipFill>
                  <pic:spPr>
                    <a:xfrm>
                      <a:off x="0" y="0"/>
                      <a:ext cx="3420000" cy="2382949"/>
                    </a:xfrm>
                    <a:prstGeom prst="rect"/>
                  </pic:spPr>
                </pic:pic>
              </a:graphicData>
            </a:graphic>
          </wp:inline>
        </w:drawing>
      </w:r>
    </w:p>
    <w:p>
      <w:pPr>
        <w:spacing w:line="312" w:lineRule="auto" w:before="0" w:after="120"/>
      </w:pPr>
      <w:r>
        <w:rPr>
          <w:rFonts w:ascii="Arial" w:hAnsi="Arial" w:cs="Arial" w:eastAsia="맑은 고딕"/>
          <w:b w:val="0"/>
          <w:i w:val="0"/>
          <w:sz w:val="16"/>
        </w:rPr>
        <w:t>Fig. 3 Inter-judge agreement: Gwet AC2 with view-bootstrap 95% CI per RB-6D dimension (prespecified bar 0.70), and CF-flag pairwise and positive specific agreement with conversation-cluster 95% CIs (bar 0.80).</w:t>
      </w:r>
    </w:p>
    <w:p>
      <w:pPr>
        <w:sectPr>
          <w:type w:val="continuous"/>
          <w:pgSz w:w="11906" w:h="16838"/>
          <w:pgMar w:top="2183" w:right="1701" w:bottom="2183" w:left="1701" w:header="567" w:footer="567" w:gutter="0"/>
          <w:cols w:space="340" w:num="1"/>
          <w:docGrid w:linePitch="360"/>
        </w:sectPr>
      </w:pP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8 N3: inter-judge agreement on 3,195 risk-item views (20 runs). CI: view bootstrap (fixed rules) and conversation-cluster bootstrap (post hoc).</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Dimension</w:t>
            </w:r>
          </w:p>
        </w:tc>
        <w:tc>
          <w:tcPr>
            <w:tcW w:type="dxa" w:w="2126"/>
          </w:tcPr>
          <w:p>
            <w:pPr>
              <w:spacing w:line="288" w:lineRule="auto"/>
            </w:pPr>
            <w:r/>
            <w:r>
              <w:rPr>
                <w:rFonts w:ascii="Times New Roman" w:hAnsi="Times New Roman" w:cs="Times New Roman" w:eastAsia="바탕"/>
                <w:b/>
                <w:i w:val="0"/>
                <w:sz w:val="16"/>
              </w:rPr>
              <w:t>AC2</w:t>
            </w:r>
          </w:p>
        </w:tc>
        <w:tc>
          <w:tcPr>
            <w:tcW w:type="dxa" w:w="2126"/>
          </w:tcPr>
          <w:p>
            <w:pPr>
              <w:spacing w:line="288" w:lineRule="auto"/>
            </w:pPr>
            <w:r/>
            <w:r>
              <w:rPr>
                <w:rFonts w:ascii="Times New Roman" w:hAnsi="Times New Roman" w:cs="Times New Roman" w:eastAsia="바탕"/>
                <w:b/>
                <w:i w:val="0"/>
                <w:sz w:val="16"/>
              </w:rPr>
              <w:t>95% CI, view</w:t>
            </w:r>
          </w:p>
        </w:tc>
        <w:tc>
          <w:tcPr>
            <w:tcW w:type="dxa" w:w="2126"/>
          </w:tcPr>
          <w:p>
            <w:pPr>
              <w:spacing w:line="288" w:lineRule="auto"/>
            </w:pPr>
            <w:r/>
            <w:r>
              <w:rPr>
                <w:rFonts w:ascii="Times New Roman" w:hAnsi="Times New Roman" w:cs="Times New Roman" w:eastAsia="바탕"/>
                <w:b/>
                <w:i w:val="0"/>
                <w:sz w:val="16"/>
              </w:rPr>
              <w:t>95% CI, cluster</w:t>
            </w:r>
          </w:p>
        </w:tc>
      </w:tr>
      <w:tr>
        <w:tc>
          <w:tcPr>
            <w:tcW w:type="dxa" w:w="2126"/>
          </w:tcPr>
          <w:p>
            <w:pPr>
              <w:spacing w:line="288" w:lineRule="auto"/>
            </w:pPr>
            <w:r/>
            <w:r>
              <w:rPr>
                <w:rFonts w:ascii="Times New Roman" w:hAnsi="Times New Roman" w:cs="Times New Roman" w:eastAsia="바탕"/>
                <w:b w:val="0"/>
                <w:i w:val="0"/>
                <w:sz w:val="16"/>
              </w:rPr>
              <w:t>D1 Risk recognition</w:t>
            </w:r>
          </w:p>
        </w:tc>
        <w:tc>
          <w:tcPr>
            <w:tcW w:type="dxa" w:w="2126"/>
          </w:tcPr>
          <w:p>
            <w:pPr>
              <w:spacing w:line="288" w:lineRule="auto"/>
            </w:pPr>
            <w:r/>
            <w:r>
              <w:rPr>
                <w:rFonts w:ascii="Times New Roman" w:hAnsi="Times New Roman" w:cs="Times New Roman" w:eastAsia="바탕"/>
                <w:b w:val="0"/>
                <w:i w:val="0"/>
                <w:sz w:val="16"/>
              </w:rPr>
              <w:t>0.627</w:t>
            </w:r>
          </w:p>
        </w:tc>
        <w:tc>
          <w:tcPr>
            <w:tcW w:type="dxa" w:w="2126"/>
          </w:tcPr>
          <w:p>
            <w:pPr>
              <w:spacing w:line="288" w:lineRule="auto"/>
            </w:pPr>
            <w:r/>
            <w:r>
              <w:rPr>
                <w:rFonts w:ascii="Times New Roman" w:hAnsi="Times New Roman" w:cs="Times New Roman" w:eastAsia="바탕"/>
                <w:b w:val="0"/>
                <w:i w:val="0"/>
                <w:sz w:val="16"/>
              </w:rPr>
              <w:t>0.605-0.649</w:t>
            </w:r>
          </w:p>
        </w:tc>
        <w:tc>
          <w:tcPr>
            <w:tcW w:type="dxa" w:w="2126"/>
          </w:tcPr>
          <w:p>
            <w:pPr>
              <w:spacing w:line="288" w:lineRule="auto"/>
            </w:pPr>
            <w:r/>
            <w:r>
              <w:rPr>
                <w:rFonts w:ascii="Times New Roman" w:hAnsi="Times New Roman" w:cs="Times New Roman" w:eastAsia="바탕"/>
                <w:b w:val="0"/>
                <w:i w:val="0"/>
                <w:sz w:val="16"/>
              </w:rPr>
              <w:t>0.586-0.665</w:t>
            </w:r>
          </w:p>
        </w:tc>
      </w:tr>
      <w:tr>
        <w:tc>
          <w:tcPr>
            <w:tcW w:type="dxa" w:w="2126"/>
          </w:tcPr>
          <w:p>
            <w:pPr>
              <w:spacing w:line="288" w:lineRule="auto"/>
            </w:pPr>
            <w:r/>
            <w:r>
              <w:rPr>
                <w:rFonts w:ascii="Times New Roman" w:hAnsi="Times New Roman" w:cs="Times New Roman" w:eastAsia="바탕"/>
                <w:b w:val="0"/>
                <w:i w:val="0"/>
                <w:sz w:val="16"/>
              </w:rPr>
              <w:t>D2 Boundary setting</w:t>
            </w:r>
          </w:p>
        </w:tc>
        <w:tc>
          <w:tcPr>
            <w:tcW w:type="dxa" w:w="2126"/>
          </w:tcPr>
          <w:p>
            <w:pPr>
              <w:spacing w:line="288" w:lineRule="auto"/>
            </w:pPr>
            <w:r/>
            <w:r>
              <w:rPr>
                <w:rFonts w:ascii="Times New Roman" w:hAnsi="Times New Roman" w:cs="Times New Roman" w:eastAsia="바탕"/>
                <w:b w:val="0"/>
                <w:i w:val="0"/>
                <w:sz w:val="16"/>
              </w:rPr>
              <w:t>0.667</w:t>
            </w:r>
          </w:p>
        </w:tc>
        <w:tc>
          <w:tcPr>
            <w:tcW w:type="dxa" w:w="2126"/>
          </w:tcPr>
          <w:p>
            <w:pPr>
              <w:spacing w:line="288" w:lineRule="auto"/>
            </w:pPr>
            <w:r/>
            <w:r>
              <w:rPr>
                <w:rFonts w:ascii="Times New Roman" w:hAnsi="Times New Roman" w:cs="Times New Roman" w:eastAsia="바탕"/>
                <w:b w:val="0"/>
                <w:i w:val="0"/>
                <w:sz w:val="16"/>
              </w:rPr>
              <w:t>0.645-0.687</w:t>
            </w:r>
          </w:p>
        </w:tc>
        <w:tc>
          <w:tcPr>
            <w:tcW w:type="dxa" w:w="2126"/>
          </w:tcPr>
          <w:p>
            <w:pPr>
              <w:spacing w:line="288" w:lineRule="auto"/>
            </w:pPr>
            <w:r/>
            <w:r>
              <w:rPr>
                <w:rFonts w:ascii="Times New Roman" w:hAnsi="Times New Roman" w:cs="Times New Roman" w:eastAsia="바탕"/>
                <w:b w:val="0"/>
                <w:i w:val="0"/>
                <w:sz w:val="16"/>
              </w:rPr>
              <w:t>0.631-0.700</w:t>
            </w:r>
          </w:p>
        </w:tc>
      </w:tr>
      <w:tr>
        <w:tc>
          <w:tcPr>
            <w:tcW w:type="dxa" w:w="2126"/>
          </w:tcPr>
          <w:p>
            <w:pPr>
              <w:spacing w:line="288" w:lineRule="auto"/>
            </w:pPr>
            <w:r/>
            <w:r>
              <w:rPr>
                <w:rFonts w:ascii="Times New Roman" w:hAnsi="Times New Roman" w:cs="Times New Roman" w:eastAsia="바탕"/>
                <w:b w:val="0"/>
                <w:i w:val="0"/>
                <w:sz w:val="16"/>
              </w:rPr>
              <w:t>D3 Safe refusal</w:t>
            </w:r>
          </w:p>
        </w:tc>
        <w:tc>
          <w:tcPr>
            <w:tcW w:type="dxa" w:w="2126"/>
          </w:tcPr>
          <w:p>
            <w:pPr>
              <w:spacing w:line="288" w:lineRule="auto"/>
            </w:pPr>
            <w:r/>
            <w:r>
              <w:rPr>
                <w:rFonts w:ascii="Times New Roman" w:hAnsi="Times New Roman" w:cs="Times New Roman" w:eastAsia="바탕"/>
                <w:b w:val="0"/>
                <w:i w:val="0"/>
                <w:sz w:val="16"/>
              </w:rPr>
              <w:t>0.665</w:t>
            </w:r>
          </w:p>
        </w:tc>
        <w:tc>
          <w:tcPr>
            <w:tcW w:type="dxa" w:w="2126"/>
          </w:tcPr>
          <w:p>
            <w:pPr>
              <w:spacing w:line="288" w:lineRule="auto"/>
            </w:pPr>
            <w:r/>
            <w:r>
              <w:rPr>
                <w:rFonts w:ascii="Times New Roman" w:hAnsi="Times New Roman" w:cs="Times New Roman" w:eastAsia="바탕"/>
                <w:b w:val="0"/>
                <w:i w:val="0"/>
                <w:sz w:val="16"/>
              </w:rPr>
              <w:t>0.645-0.685</w:t>
            </w:r>
          </w:p>
        </w:tc>
        <w:tc>
          <w:tcPr>
            <w:tcW w:type="dxa" w:w="2126"/>
          </w:tcPr>
          <w:p>
            <w:pPr>
              <w:spacing w:line="288" w:lineRule="auto"/>
            </w:pPr>
            <w:r/>
            <w:r>
              <w:rPr>
                <w:rFonts w:ascii="Times New Roman" w:hAnsi="Times New Roman" w:cs="Times New Roman" w:eastAsia="바탕"/>
                <w:b w:val="0"/>
                <w:i w:val="0"/>
                <w:sz w:val="16"/>
              </w:rPr>
              <w:t>0.629-0.697</w:t>
            </w:r>
          </w:p>
        </w:tc>
      </w:tr>
      <w:tr>
        <w:tc>
          <w:tcPr>
            <w:tcW w:type="dxa" w:w="2126"/>
          </w:tcPr>
          <w:p>
            <w:pPr>
              <w:spacing w:line="288" w:lineRule="auto"/>
            </w:pPr>
            <w:r/>
            <w:r>
              <w:rPr>
                <w:rFonts w:ascii="Times New Roman" w:hAnsi="Times New Roman" w:cs="Times New Roman" w:eastAsia="바탕"/>
                <w:b w:val="0"/>
                <w:i w:val="0"/>
                <w:sz w:val="16"/>
              </w:rPr>
              <w:t>D4 Alternatives</w:t>
            </w:r>
          </w:p>
        </w:tc>
        <w:tc>
          <w:tcPr>
            <w:tcW w:type="dxa" w:w="2126"/>
          </w:tcPr>
          <w:p>
            <w:pPr>
              <w:spacing w:line="288" w:lineRule="auto"/>
            </w:pPr>
            <w:r/>
            <w:r>
              <w:rPr>
                <w:rFonts w:ascii="Times New Roman" w:hAnsi="Times New Roman" w:cs="Times New Roman" w:eastAsia="바탕"/>
                <w:b w:val="0"/>
                <w:i w:val="0"/>
                <w:sz w:val="16"/>
              </w:rPr>
              <w:t>0.487</w:t>
            </w:r>
          </w:p>
        </w:tc>
        <w:tc>
          <w:tcPr>
            <w:tcW w:type="dxa" w:w="2126"/>
          </w:tcPr>
          <w:p>
            <w:pPr>
              <w:spacing w:line="288" w:lineRule="auto"/>
            </w:pPr>
            <w:r/>
            <w:r>
              <w:rPr>
                <w:rFonts w:ascii="Times New Roman" w:hAnsi="Times New Roman" w:cs="Times New Roman" w:eastAsia="바탕"/>
                <w:b w:val="0"/>
                <w:i w:val="0"/>
                <w:sz w:val="16"/>
              </w:rPr>
              <w:t>0.462-0.513</w:t>
            </w:r>
          </w:p>
        </w:tc>
        <w:tc>
          <w:tcPr>
            <w:tcW w:type="dxa" w:w="2126"/>
          </w:tcPr>
          <w:p>
            <w:pPr>
              <w:spacing w:line="288" w:lineRule="auto"/>
            </w:pPr>
            <w:r/>
            <w:r>
              <w:rPr>
                <w:rFonts w:ascii="Times New Roman" w:hAnsi="Times New Roman" w:cs="Times New Roman" w:eastAsia="바탕"/>
                <w:b w:val="0"/>
                <w:i w:val="0"/>
                <w:sz w:val="16"/>
              </w:rPr>
              <w:t>0.444-0.528</w:t>
            </w:r>
          </w:p>
        </w:tc>
      </w:tr>
      <w:tr>
        <w:tc>
          <w:tcPr>
            <w:tcW w:type="dxa" w:w="2126"/>
          </w:tcPr>
          <w:p>
            <w:pPr>
              <w:spacing w:line="288" w:lineRule="auto"/>
            </w:pPr>
            <w:r/>
            <w:r>
              <w:rPr>
                <w:rFonts w:ascii="Times New Roman" w:hAnsi="Times New Roman" w:cs="Times New Roman" w:eastAsia="바탕"/>
                <w:b w:val="0"/>
                <w:i w:val="0"/>
                <w:sz w:val="16"/>
              </w:rPr>
              <w:t>D5 Resource linkage</w:t>
            </w:r>
          </w:p>
        </w:tc>
        <w:tc>
          <w:tcPr>
            <w:tcW w:type="dxa" w:w="2126"/>
          </w:tcPr>
          <w:p>
            <w:pPr>
              <w:spacing w:line="288" w:lineRule="auto"/>
            </w:pPr>
            <w:r/>
            <w:r>
              <w:rPr>
                <w:rFonts w:ascii="Times New Roman" w:hAnsi="Times New Roman" w:cs="Times New Roman" w:eastAsia="바탕"/>
                <w:b w:val="0"/>
                <w:i w:val="0"/>
                <w:sz w:val="16"/>
              </w:rPr>
              <w:t>0.444</w:t>
            </w:r>
          </w:p>
        </w:tc>
        <w:tc>
          <w:tcPr>
            <w:tcW w:type="dxa" w:w="2126"/>
          </w:tcPr>
          <w:p>
            <w:pPr>
              <w:spacing w:line="288" w:lineRule="auto"/>
            </w:pPr>
            <w:r/>
            <w:r>
              <w:rPr>
                <w:rFonts w:ascii="Times New Roman" w:hAnsi="Times New Roman" w:cs="Times New Roman" w:eastAsia="바탕"/>
                <w:b w:val="0"/>
                <w:i w:val="0"/>
                <w:sz w:val="16"/>
              </w:rPr>
              <w:t>0.424-0.465</w:t>
            </w:r>
          </w:p>
        </w:tc>
        <w:tc>
          <w:tcPr>
            <w:tcW w:type="dxa" w:w="2126"/>
          </w:tcPr>
          <w:p>
            <w:pPr>
              <w:spacing w:line="288" w:lineRule="auto"/>
            </w:pPr>
            <w:r/>
            <w:r>
              <w:rPr>
                <w:rFonts w:ascii="Times New Roman" w:hAnsi="Times New Roman" w:cs="Times New Roman" w:eastAsia="바탕"/>
                <w:b w:val="0"/>
                <w:i w:val="0"/>
                <w:sz w:val="16"/>
              </w:rPr>
              <w:t>0.422-0.468</w:t>
            </w:r>
          </w:p>
        </w:tc>
      </w:tr>
      <w:tr>
        <w:tc>
          <w:tcPr>
            <w:tcW w:type="dxa" w:w="2126"/>
          </w:tcPr>
          <w:p>
            <w:pPr>
              <w:spacing w:line="288" w:lineRule="auto"/>
            </w:pPr>
            <w:r/>
            <w:r>
              <w:rPr>
                <w:rFonts w:ascii="Times New Roman" w:hAnsi="Times New Roman" w:cs="Times New Roman" w:eastAsia="바탕"/>
                <w:b w:val="0"/>
                <w:i w:val="0"/>
                <w:sz w:val="16"/>
              </w:rPr>
              <w:t>D6 Transparency</w:t>
            </w:r>
          </w:p>
        </w:tc>
        <w:tc>
          <w:tcPr>
            <w:tcW w:type="dxa" w:w="2126"/>
          </w:tcPr>
          <w:p>
            <w:pPr>
              <w:spacing w:line="288" w:lineRule="auto"/>
            </w:pPr>
            <w:r/>
            <w:r>
              <w:rPr>
                <w:rFonts w:ascii="Times New Roman" w:hAnsi="Times New Roman" w:cs="Times New Roman" w:eastAsia="바탕"/>
                <w:b w:val="0"/>
                <w:i w:val="0"/>
                <w:sz w:val="16"/>
              </w:rPr>
              <w:t>0.694</w:t>
            </w:r>
          </w:p>
        </w:tc>
        <w:tc>
          <w:tcPr>
            <w:tcW w:type="dxa" w:w="2126"/>
          </w:tcPr>
          <w:p>
            <w:pPr>
              <w:spacing w:line="288" w:lineRule="auto"/>
            </w:pPr>
            <w:r/>
            <w:r>
              <w:rPr>
                <w:rFonts w:ascii="Times New Roman" w:hAnsi="Times New Roman" w:cs="Times New Roman" w:eastAsia="바탕"/>
                <w:b w:val="0"/>
                <w:i w:val="0"/>
                <w:sz w:val="16"/>
              </w:rPr>
              <w:t>0.674-0.713</w:t>
            </w:r>
          </w:p>
        </w:tc>
        <w:tc>
          <w:tcPr>
            <w:tcW w:type="dxa" w:w="2126"/>
          </w:tcPr>
          <w:p>
            <w:pPr>
              <w:spacing w:line="288" w:lineRule="auto"/>
            </w:pPr>
            <w:r/>
            <w:r>
              <w:rPr>
                <w:rFonts w:ascii="Times New Roman" w:hAnsi="Times New Roman" w:cs="Times New Roman" w:eastAsia="바탕"/>
                <w:b w:val="0"/>
                <w:i w:val="0"/>
                <w:sz w:val="16"/>
              </w:rPr>
              <w:t>0.661-0.724</w:t>
            </w:r>
          </w:p>
        </w:tc>
      </w:tr>
      <w:tr>
        <w:tc>
          <w:tcPr>
            <w:tcW w:type="dxa" w:w="2126"/>
          </w:tcPr>
          <w:p>
            <w:pPr>
              <w:spacing w:line="288" w:lineRule="auto"/>
            </w:pPr>
            <w:r/>
            <w:r>
              <w:rPr>
                <w:rFonts w:ascii="Times New Roman" w:hAnsi="Times New Roman" w:cs="Times New Roman" w:eastAsia="바탕"/>
                <w:b w:val="0"/>
                <w:i w:val="0"/>
                <w:sz w:val="16"/>
              </w:rPr>
              <w:t>CF flag, pairwise agreement</w:t>
            </w:r>
          </w:p>
        </w:tc>
        <w:tc>
          <w:tcPr>
            <w:tcW w:type="dxa" w:w="2126"/>
          </w:tcPr>
          <w:p>
            <w:pPr>
              <w:spacing w:line="288" w:lineRule="auto"/>
            </w:pPr>
            <w:r/>
            <w:r>
              <w:rPr>
                <w:rFonts w:ascii="Times New Roman" w:hAnsi="Times New Roman" w:cs="Times New Roman" w:eastAsia="바탕"/>
                <w:b w:val="0"/>
                <w:i w:val="0"/>
                <w:sz w:val="16"/>
              </w:rPr>
              <w:t>0.823</w:t>
            </w:r>
          </w:p>
        </w:tc>
        <w:tc>
          <w:tcPr>
            <w:tcW w:type="dxa" w:w="2126"/>
          </w:tcPr>
          <w:p>
            <w:pPr>
              <w:spacing w:line="288" w:lineRule="auto"/>
            </w:pPr>
            <w:r/>
            <w:r>
              <w:rPr>
                <w:rFonts w:ascii="Times New Roman" w:hAnsi="Times New Roman" w:cs="Times New Roman" w:eastAsia="바탕"/>
                <w:b w:val="0"/>
                <w:i w:val="0"/>
                <w:sz w:val="16"/>
              </w:rPr>
              <w:t>-</w:t>
            </w:r>
          </w:p>
        </w:tc>
        <w:tc>
          <w:tcPr>
            <w:tcW w:type="dxa" w:w="2126"/>
          </w:tcPr>
          <w:p>
            <w:pPr>
              <w:spacing w:line="288" w:lineRule="auto"/>
            </w:pPr>
            <w:r/>
            <w:r>
              <w:rPr>
                <w:rFonts w:ascii="Times New Roman" w:hAnsi="Times New Roman" w:cs="Times New Roman" w:eastAsia="바탕"/>
                <w:b w:val="0"/>
                <w:i w:val="0"/>
                <w:sz w:val="16"/>
              </w:rPr>
              <w:t>0.809-0.837</w:t>
            </w:r>
          </w:p>
        </w:tc>
      </w:tr>
      <w:tr>
        <w:tc>
          <w:tcPr>
            <w:tcW w:type="dxa" w:w="2126"/>
          </w:tcPr>
          <w:p>
            <w:pPr>
              <w:spacing w:line="288" w:lineRule="auto"/>
            </w:pPr>
            <w:r/>
            <w:r>
              <w:rPr>
                <w:rFonts w:ascii="Times New Roman" w:hAnsi="Times New Roman" w:cs="Times New Roman" w:eastAsia="바탕"/>
                <w:b w:val="0"/>
                <w:i w:val="0"/>
                <w:sz w:val="16"/>
              </w:rPr>
              <w:t>CF flag, positive agreement</w:t>
            </w:r>
          </w:p>
        </w:tc>
        <w:tc>
          <w:tcPr>
            <w:tcW w:type="dxa" w:w="2126"/>
          </w:tcPr>
          <w:p>
            <w:pPr>
              <w:spacing w:line="288" w:lineRule="auto"/>
            </w:pPr>
            <w:r/>
            <w:r>
              <w:rPr>
                <w:rFonts w:ascii="Times New Roman" w:hAnsi="Times New Roman" w:cs="Times New Roman" w:eastAsia="바탕"/>
                <w:b w:val="0"/>
                <w:i w:val="0"/>
                <w:sz w:val="16"/>
              </w:rPr>
              <w:t>0.536</w:t>
            </w:r>
          </w:p>
        </w:tc>
        <w:tc>
          <w:tcPr>
            <w:tcW w:type="dxa" w:w="2126"/>
          </w:tcPr>
          <w:p>
            <w:pPr>
              <w:spacing w:line="288" w:lineRule="auto"/>
            </w:pPr>
            <w:r/>
            <w:r>
              <w:rPr>
                <w:rFonts w:ascii="Times New Roman" w:hAnsi="Times New Roman" w:cs="Times New Roman" w:eastAsia="바탕"/>
                <w:b w:val="0"/>
                <w:i w:val="0"/>
                <w:sz w:val="16"/>
              </w:rPr>
              <w:t>-</w:t>
            </w:r>
          </w:p>
        </w:tc>
        <w:tc>
          <w:tcPr>
            <w:tcW w:type="dxa" w:w="2126"/>
          </w:tcPr>
          <w:p>
            <w:pPr>
              <w:spacing w:line="288" w:lineRule="auto"/>
            </w:pPr>
            <w:r/>
            <w:r>
              <w:rPr>
                <w:rFonts w:ascii="Times New Roman" w:hAnsi="Times New Roman" w:cs="Times New Roman" w:eastAsia="바탕"/>
                <w:b w:val="0"/>
                <w:i w:val="0"/>
                <w:sz w:val="16"/>
              </w:rPr>
              <w:t>0.492-0.574</w:t>
            </w:r>
          </w:p>
        </w:tc>
      </w:tr>
      <w:tr>
        <w:tc>
          <w:tcPr>
            <w:tcW w:type="dxa" w:w="2126"/>
          </w:tcPr>
          <w:p>
            <w:pPr>
              <w:spacing w:line="288" w:lineRule="auto"/>
            </w:pPr>
            <w:r/>
            <w:r>
              <w:rPr>
                <w:rFonts w:ascii="Times New Roman" w:hAnsi="Times New Roman" w:cs="Times New Roman" w:eastAsia="바탕"/>
                <w:b w:val="0"/>
                <w:i w:val="0"/>
                <w:sz w:val="16"/>
              </w:rPr>
              <w:t>CF flag, negative agreement</w:t>
            </w:r>
          </w:p>
        </w:tc>
        <w:tc>
          <w:tcPr>
            <w:tcW w:type="dxa" w:w="2126"/>
          </w:tcPr>
          <w:p>
            <w:pPr>
              <w:spacing w:line="288" w:lineRule="auto"/>
            </w:pPr>
            <w:r/>
            <w:r>
              <w:rPr>
                <w:rFonts w:ascii="Times New Roman" w:hAnsi="Times New Roman" w:cs="Times New Roman" w:eastAsia="바탕"/>
                <w:b w:val="0"/>
                <w:i w:val="0"/>
                <w:sz w:val="16"/>
              </w:rPr>
              <w:t>0.890</w:t>
            </w:r>
          </w:p>
        </w:tc>
        <w:tc>
          <w:tcPr>
            <w:tcW w:type="dxa" w:w="2126"/>
          </w:tcPr>
          <w:p>
            <w:pPr>
              <w:spacing w:line="288" w:lineRule="auto"/>
            </w:pPr>
            <w:r/>
            <w:r>
              <w:rPr>
                <w:rFonts w:ascii="Times New Roman" w:hAnsi="Times New Roman" w:cs="Times New Roman" w:eastAsia="바탕"/>
                <w:b w:val="0"/>
                <w:i w:val="0"/>
                <w:sz w:val="16"/>
              </w:rPr>
              <w:t>-</w:t>
            </w:r>
          </w:p>
        </w:tc>
        <w:tc>
          <w:tcPr>
            <w:tcW w:type="dxa" w:w="2126"/>
          </w:tcPr>
          <w:p>
            <w:pPr>
              <w:spacing w:line="288" w:lineRule="auto"/>
            </w:pPr>
            <w:r/>
            <w:r>
              <w:rPr>
                <w:rFonts w:ascii="Times New Roman" w:hAnsi="Times New Roman" w:cs="Times New Roman" w:eastAsia="바탕"/>
                <w:b w:val="0"/>
                <w:i w:val="0"/>
                <w:sz w:val="16"/>
              </w:rPr>
              <w:t>0.879-0.900</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4.5 기술 통계</w:t>
      </w:r>
    </w:p>
    <w:p>
      <w:pPr>
        <w:spacing w:line="360" w:lineRule="auto" w:before="0" w:after="0"/>
        <w:ind w:firstLine="184"/>
        <w:jc w:val="both"/>
      </w:pPr>
      <w:r>
        <w:rPr>
          <w:rFonts w:ascii="Times New Roman" w:hAnsi="Times New Roman" w:cs="Times New Roman" w:eastAsia="바탕"/>
          <w:b w:val="0"/>
          <w:i w:val="0"/>
          <w:sz w:val="18"/>
        </w:rPr>
        <w:t>과잉거부는 무해 대조 문항의 마지막 응답 240개(모델당 어휘 대조 24개와 무해 쌍둥이 24개의 6턴 응답) 중 0건이었다(양측 95% Clopper–Pearson 구간의 상한: 전체 0.015, 모델별 0.074). 이 상한은 응답들이 서로 독립이라고 가정하지만 실제로는 같은 48개 문항에 대한 다섯 모델의 출력이므로 불확실성을 과소 표시할 수 있고, 판정자가 과잉거부를 놓쳤을 가능성도 배제하지 못한다. 위험 문항(모델당 108대화)에서 대화 중 CF가 표시된 비율은 Qwen2.5 0.139, HyperCLOVA 0.204, Gemma 3 0.278, EXAONE 0.324, Kanana 0.352였다. 모델마다 크기와 양자화 방식이 다르고 판정의 불확실성이 크므로 이 값은 시험한 설정에서의 기술 통계이며 모델 순위로 해석하지 않는다. 위험 대화 540개 중 385개에서는 실패 사건(E3)이 없었고, 첫 실패는 1턴에서 가장 많았다(84대화). 첫 실패 뒤 회복이 관측될 수 있는 95대화 중 다음 턴에서 회복한 대화는 28개, 이후 어느 턴에서든 회복한 대화(즉시 회복 포함)는 44개였으며, 60대화는 마지막 턴의 실패로 중도 절단되었다. 무해 대조 대화 240개는 실패 사건의 정의(D2·D6)가 적용되지 않으므로 전이 분석에서 따로 두었다. CRRI의 평균은 0.607(범위 0–8)이었다.</w:t>
      </w:r>
    </w:p>
    <w:p>
      <w:pPr>
        <w:spacing w:line="360" w:lineRule="auto" w:before="280" w:after="120"/>
      </w:pPr>
      <w:r>
        <w:rPr>
          <w:rFonts w:ascii="Arial" w:hAnsi="Arial" w:cs="Arial" w:eastAsia="맑은 고딕"/>
          <w:b/>
          <w:i w:val="0"/>
          <w:sz w:val="22"/>
        </w:rPr>
        <w:t>Ⅴ. 결  론</w:t>
      </w:r>
    </w:p>
    <w:p>
      <w:pPr>
        <w:spacing w:line="360" w:lineRule="auto" w:before="0" w:after="0"/>
        <w:ind w:firstLine="184"/>
        <w:jc w:val="both"/>
      </w:pPr>
      <w:r>
        <w:rPr>
          <w:rFonts w:ascii="Times New Roman" w:hAnsi="Times New Roman" w:cs="Times New Roman" w:eastAsia="바탕"/>
          <w:b w:val="0"/>
          <w:i w:val="0"/>
          <w:sz w:val="18"/>
        </w:rPr>
        <w:t>본 연구에서는 한국 청소년을 모사한 다중 턴 대화의 안전성을 개방형 LLM 판정자 패널로 평가하였다. 위험 대본에서 턴 깊이에 따른 CF 표시가 증가하였으나, 무해 쌍둥이에서도 증가가 관측되어 고정된 규칙으로는 위험 내용에 특이적인 증가를 확인하지 못하였다. 무해 쌍둥이의 6턴 CF 표시 20건 중 16건은 판정자 한 종의 출력 실패와 남은 두 판정자의 불일치를 처리하는 보수 규칙에 따라 부여되었고, 이 처리를 바꾸면 위험 특이성에 대한 결론이 달라졌다. 판정 출력을 JSON 구조로 제약하는 사후 수리에서는 동점 규칙으로 부여된 표시와 무해 쌍둥이의 증가 대부분이 사라졌으나, 무해 군의 사건이 5건뿐이어서 위험 특이적 증가를 확인하지는 못하였다. 이는 다중 턴 안전성 수치를 해석할 때 판정자 출력의 유효성과 집계 규칙을 함께 보고해야 함을 보여 준다. 현지화의 효과와 동등성은 모두 확인되지 않았고, 판정자 간 일치도는 사전 기준에 미달하였다. 다만 인간 기준 평정이 없으므로 해당 표시의 오탐 여부와 실제 응답의 안전성은 확정할 수 없다.</w:t>
      </w:r>
    </w:p>
    <w:p>
      <w:pPr>
        <w:spacing w:line="360" w:lineRule="auto" w:before="0" w:after="0"/>
        <w:ind w:firstLine="184"/>
        <w:jc w:val="both"/>
      </w:pPr>
      <w:r>
        <w:rPr>
          <w:rFonts w:ascii="Times New Roman" w:hAnsi="Times New Roman" w:cs="Times New Roman" w:eastAsia="바탕"/>
          <w:b w:val="0"/>
          <w:i w:val="0"/>
          <w:sz w:val="18"/>
        </w:rPr>
        <w:t>한계는 다음과 같다. 첫째, 인간 기준 평정이 없어 판정자의 정확도는 알 수 없고 판정자 간 일치도만 보고한다. 판정자의 한국어 이해 능력도 따로 검증하지 않았다. 주 실행의 판정자 출력 실패 87건 중 58건이 J1(Llama-3.1-8B-Instruct)에서 나왔고 J1을 제외하면 AC2가 0.17–0.22 높아졌으므로, 패널의 문제는 J1에 집중되어 있다. 둘째, 평가 대상은 개방형 모델 5종이며 상용 서비스는 포함하지 않았다. 계획한 Qwen3 대신 디스크 제약으로 Qwen2.5-14B를 사용하였고, 이 대체는 결과 열람 전에 기록하였다. 셋째, 문항은 156개, 대화 창은 6턴 이하이며 실제 청소년이 아닌 모사 대화이다. 넷째, 무해 쌍둥이는 사용자 발화 길이만 맞추었으므로 모델 응답과 판정 입력의 길이 차이가 남으며, 응답이 350토큰 상한에서 잘렸는지는 기록되지 않았다. 다섯째, 판정 출력은 배치 구성과 캐시 설정에 민감하였고 본 연구는 이를 순차 디코딩으로 고정하였을 뿐 그 민감도를 제거하지는 않았다. 여섯째, 변분 베이즈 적합은 초기값을 무작위로 정하므로 재실행 시 OR이 소수점 여섯째 자리 수준에서 달라질 수 있다. 일곱째, 최종 분석 전에 여러 실행을 결합하는 분석 코드의 오류를 발견해 수정하였고, 수정 전 출력은 사용하지 않았다. 이 과정에서 잘못된 단위로 계산된 N3 값이 한 번 열람되었다(표 5). 여덟째, HyperCLOVAX는 구간 경계 토큰에서 생성을 멈추도록 설정되어 주 실행 응답 564개 중 30개(사후 문자 규칙 기준)가 답변 대신 계획 문장으로 채점되었을 수 있으므로, 이 모델의 결과는 그만큼 불확실하다. 향후 과제는 판정자 출력 실패를 줄이는 판정 설계와 동점 규칙의 검증, 더 긴 대화 창과 상용 모델로의 확장이다. 판정자 일치도가 가장 낮았던 자원 연결(D5)은 공식 위기 자원 목록과 대조하는 결정적 채점으로 대신할 수 있을 것이다.</w:t>
      </w:r>
    </w:p>
    <w:p>
      <w:pPr>
        <w:spacing w:line="360" w:lineRule="auto" w:before="0" w:after="0"/>
        <w:ind w:firstLine="184"/>
        <w:jc w:val="both"/>
      </w:pPr>
      <w:r>
        <w:rPr>
          <w:rFonts w:ascii="Times New Roman" w:hAnsi="Times New Roman" w:cs="Times New Roman" w:eastAsia="바탕"/>
          <w:b w:val="0"/>
          <w:i w:val="0"/>
          <w:sz w:val="18"/>
        </w:rPr>
        <w:t>문항 은행, 판정 출력, 분석 코드와 고정 문서는 민감한 내용을 포함하므로 교신저자에게 요청하면 연구 목적에 한해 제공한다.</w:t>
      </w:r>
    </w:p>
    <w:p>
      <w:pPr>
        <w:spacing w:line="360" w:lineRule="auto" w:before="200" w:after="40"/>
      </w:pPr>
      <w:r>
        <w:rPr>
          <w:rFonts w:ascii="Arial" w:hAnsi="Arial" w:cs="Arial" w:eastAsia="맑은 고딕"/>
          <w:b/>
          <w:i w:val="0"/>
          <w:sz w:val="22"/>
        </w:rPr>
        <w:t>ACKNOWLEDGEMENTS</w:t>
      </w:r>
    </w:p>
    <w:p>
      <w:pPr>
        <w:spacing w:line="360" w:lineRule="auto" w:before="0" w:after="0"/>
        <w:jc w:val="both"/>
      </w:pPr>
      <w:r>
        <w:rPr>
          <w:rFonts w:ascii="Times New Roman" w:hAnsi="Times New Roman" w:cs="Times New Roman" w:eastAsia="바탕"/>
          <w:b w:val="0"/>
          <w:i w:val="0"/>
          <w:sz w:val="18"/>
        </w:rPr>
        <w:t>This research was supported by the following funding sources: (1) ANCHOR through the Seoul ANCHOR Center, funded by the Ministry of Education (MOE) and the Seoul Metropolitan Government (2026-ANCHOR-01-018-04), in collaboration with Emotionwave (https://emotionwave.com). (2) The Sports and Tourism R&amp;D Program through the Korea Creative Content Agency (KOCCA), funded by the Ministry of Culture, Sports and Tourism in 2024, under the project titled “Development of game-based digital therapeutics technology for adolescent mental health (psychological and behavioral control) management” (grant number: RS-2024-00344893).</w:t>
      </w:r>
    </w:p>
    <w:p>
      <w:pPr>
        <w:spacing w:line="360" w:lineRule="auto" w:before="120" w:after="40"/>
      </w:pPr>
      <w:r>
        <w:rPr>
          <w:rFonts w:ascii="Arial" w:hAnsi="Arial" w:cs="Arial" w:eastAsia="맑은 고딕"/>
          <w:b/>
          <w:i w:val="0"/>
          <w:sz w:val="19"/>
        </w:rPr>
        <w:t>생성형 AI 활용 공개</w:t>
      </w:r>
    </w:p>
    <w:p>
      <w:pPr>
        <w:spacing w:line="360" w:lineRule="auto" w:before="0" w:after="0"/>
        <w:ind w:firstLine="184"/>
        <w:jc w:val="both"/>
      </w:pPr>
      <w:r>
        <w:rPr>
          <w:rFonts w:ascii="Times New Roman" w:hAnsi="Times New Roman" w:cs="Times New Roman" w:eastAsia="바탕"/>
          <w:b w:val="0"/>
          <w:i w:val="0"/>
          <w:sz w:val="18"/>
        </w:rPr>
        <w:t>본 연구의 문항 초안 작성, 실험 파이프라인 구현·실행, 원고 초안 작성에 생성형 AI 도구(Anthropic Claude)를 사용하였다. 평가 대상 모델 5종과 판정자 모델 3종은 연구 방법의 일부이며 3장에 명시하였다. 본문의 모든 수치는 저장된 결과 파일에서 추적할 수 있다. 저자는 모든 내용을 검토하였으며 이에 대한 책임을 진다.</w:t>
      </w:r>
    </w:p>
    <w:p>
      <w:pPr>
        <w:spacing w:line="360" w:lineRule="auto" w:before="280" w:after="80"/>
      </w:pPr>
      <w:r>
        <w:rPr>
          <w:rFonts w:ascii="Arial" w:hAnsi="Arial" w:cs="Arial" w:eastAsia="맑은 고딕"/>
          <w:b/>
          <w:i w:val="0"/>
          <w:sz w:val="22"/>
        </w:rPr>
        <w:t>REFERENCES</w:t>
      </w:r>
    </w:p>
    <w:p>
      <w:pPr>
        <w:spacing w:line="360" w:lineRule="auto" w:before="0" w:after="0"/>
        <w:ind w:left="320" w:hanging="320"/>
        <w:jc w:val="both"/>
      </w:pPr>
      <w:r>
        <w:rPr>
          <w:rFonts w:ascii="Times New Roman" w:hAnsi="Times New Roman" w:cs="Times New Roman" w:eastAsia="바탕"/>
          <w:b w:val="0"/>
          <w:i w:val="0"/>
          <w:sz w:val="16"/>
        </w:rPr>
        <w:t>[1] S. Arif, A. Borah, and R. Mihalcea, “The Age of Curiosity Meets the Age of AI: Benchmarking Child Safety in Large Language Models,” arXiv preprint arXiv: 2605.25510, May 2026. DOI: 10.48550/arXiv.2605.25510.</w:t>
      </w:r>
    </w:p>
    <w:p>
      <w:pPr>
        <w:spacing w:line="360" w:lineRule="auto" w:before="0" w:after="0"/>
        <w:ind w:left="320" w:hanging="320"/>
        <w:jc w:val="both"/>
      </w:pPr>
      <w:r>
        <w:rPr>
          <w:rFonts w:ascii="Times New Roman" w:hAnsi="Times New Roman" w:cs="Times New Roman" w:eastAsia="바탕"/>
          <w:b w:val="0"/>
          <w:i w:val="0"/>
          <w:sz w:val="16"/>
        </w:rPr>
        <w:t>[2] W. Xing, L. Wei, H. Hu, J. Yu, R. Li, M. Li, C. Lin, and M. Han, “SproutBench: A Benchmark for Safe and Ethical Large Language Models for Youth,” arXiv preprint arXiv: 2508.11009, Aug. 2025. DOI: 10.48550/arXiv.2508.11009.</w:t>
      </w:r>
    </w:p>
    <w:p>
      <w:pPr>
        <w:spacing w:line="360" w:lineRule="auto" w:before="0" w:after="0"/>
        <w:ind w:left="320" w:hanging="320"/>
        <w:jc w:val="both"/>
      </w:pPr>
      <w:r>
        <w:rPr>
          <w:rFonts w:ascii="Times New Roman" w:hAnsi="Times New Roman" w:cs="Times New Roman" w:eastAsia="바탕"/>
          <w:b w:val="0"/>
          <w:i w:val="0"/>
          <w:sz w:val="16"/>
        </w:rPr>
        <w:t>[3] K. Krishna-Kumar, E. Lau, V. Robinson, J. Caldwell, S. Issaka, S. Wang, F. Guzmán, S. Kelling, and J. Mueller, “CAREBench: A Child-Safety Risk Benchmark for Language Models,” arXiv preprint arXiv: 2606.29685, Jun. 2026. DOI: 10.48550/arXiv.2606.29685.</w:t>
      </w:r>
    </w:p>
    <w:p>
      <w:pPr>
        <w:spacing w:line="360" w:lineRule="auto" w:before="0" w:after="0"/>
        <w:ind w:left="320" w:hanging="320"/>
        <w:jc w:val="both"/>
      </w:pPr>
      <w:r>
        <w:rPr>
          <w:rFonts w:ascii="Times New Roman" w:hAnsi="Times New Roman" w:cs="Times New Roman" w:eastAsia="바탕"/>
          <w:b w:val="0"/>
          <w:i w:val="0"/>
          <w:sz w:val="16"/>
        </w:rPr>
        <w:t>[4] J. Jiao, S. Afroogh, K. Chen, A. Murali, D. Atkinson, and A. Dhurandhar, “Safe-Child-LLM: A Developmental Benchmark for Evaluating LLM Safety in Child-LLM Interactions,” arXiv preprint arXiv: 2506.13510, Jun. 2025. DOI: 10.48550/arXiv.2506.13510.</w:t>
      </w:r>
    </w:p>
    <w:p>
      <w:pPr>
        <w:spacing w:line="360" w:lineRule="auto" w:before="0" w:after="0"/>
        <w:ind w:left="320" w:hanging="320"/>
        <w:jc w:val="both"/>
      </w:pPr>
      <w:r>
        <w:rPr>
          <w:rFonts w:ascii="Times New Roman" w:hAnsi="Times New Roman" w:cs="Times New Roman" w:eastAsia="바탕"/>
          <w:b w:val="0"/>
          <w:i w:val="0"/>
          <w:sz w:val="16"/>
        </w:rPr>
        <w:t>[5] S. Khoo, G. Chua, and R. Shong, “MinorBench: A hand-built benchmark for content-based risks for children,” arXiv preprint arXiv: 2503.10242, Mar. 2025. DOI: 10.48550/arXiv.2503.10242.</w:t>
      </w:r>
    </w:p>
    <w:p>
      <w:pPr>
        <w:spacing w:line="360" w:lineRule="auto" w:before="0" w:after="0"/>
        <w:ind w:left="320" w:hanging="320"/>
        <w:jc w:val="both"/>
      </w:pPr>
      <w:r>
        <w:rPr>
          <w:rFonts w:ascii="Times New Roman" w:hAnsi="Times New Roman" w:cs="Times New Roman" w:eastAsia="바탕"/>
          <w:b w:val="0"/>
          <w:i w:val="0"/>
          <w:sz w:val="16"/>
        </w:rPr>
        <w:t>[6] Y. Yu, Y. Liu, Y. Zhang, Y. Huang, and Y. Wang, “YouthSafe: A youth-centric safety benchmark and safeguard model for large language models,” in Proceeding of the 2025 ACM SIGSAC Conference on Computer and Communications Security, Taipei, Taiwan, pp. 4349-4363, 2025. DOI: 10.1145/3719027.3765168.</w:t>
      </w:r>
    </w:p>
    <w:p>
      <w:pPr>
        <w:spacing w:line="360" w:lineRule="auto" w:before="0" w:after="0"/>
        <w:ind w:left="320" w:hanging="320"/>
        <w:jc w:val="both"/>
      </w:pPr>
      <w:r>
        <w:rPr>
          <w:rFonts w:ascii="Times New Roman" w:hAnsi="Times New Roman" w:cs="Times New Roman" w:eastAsia="바탕"/>
          <w:b w:val="0"/>
          <w:i w:val="0"/>
          <w:sz w:val="16"/>
        </w:rPr>
        <w:t>[7] A. Murali, S. Afroogh, K. Chen, D. Atkinson, A. Dhurandhar, and J. Jiao, “Evaluating LLM Safety Across Child Development Stages: A Simulated Agent Approach,” arXiv preprint arXiv: 2510.05484, Oct. 2025. DOI: 10.48550/arXiv.2510.05484.</w:t>
      </w:r>
    </w:p>
    <w:p>
      <w:pPr>
        <w:spacing w:line="360" w:lineRule="auto" w:before="0" w:after="0"/>
        <w:ind w:left="320" w:hanging="320"/>
        <w:jc w:val="both"/>
      </w:pPr>
      <w:r>
        <w:rPr>
          <w:rFonts w:ascii="Times New Roman" w:hAnsi="Times New Roman" w:cs="Times New Roman" w:eastAsia="바탕"/>
          <w:b w:val="0"/>
          <w:i w:val="0"/>
          <w:sz w:val="16"/>
        </w:rPr>
        <w:t>[8] H. Cha, N. Shukla, S. Barocas, A. Chouldechova, E. Kim, and J. W. Vaughan, “Beyond "I Can't Help With That": How Child Safety Experts Evaluate AI Chatbot Safety,” arXiv preprint arXiv: 2608.07902, Aug. 2026. DOI: 10.48550/arXiv.2608.07902.</w:t>
      </w:r>
    </w:p>
    <w:p>
      <w:pPr>
        <w:spacing w:line="360" w:lineRule="auto" w:before="0" w:after="0"/>
        <w:ind w:left="320" w:hanging="320"/>
        <w:jc w:val="both"/>
      </w:pPr>
      <w:r>
        <w:rPr>
          <w:rFonts w:ascii="Times New Roman" w:hAnsi="Times New Roman" w:cs="Times New Roman" w:eastAsia="바탕"/>
          <w:b w:val="0"/>
          <w:i w:val="0"/>
          <w:sz w:val="16"/>
        </w:rPr>
        <w:t>[9] Y. Jiang, K. Aggarwal, T. Laud, K. Munir, J. Pujara, and S. Mukherjee, “Red Queen: Exposing latent multi-turn risks in large language models,” in Findings of the Association for Computational Linguistics: ACL 2025, Vienna, Austria, pp. 25554-25591, 2025. DOI: 10.18653/v1/2025.findings-acl.1311.</w:t>
      </w:r>
    </w:p>
    <w:p>
      <w:pPr>
        <w:spacing w:line="360" w:lineRule="auto" w:before="0" w:after="0"/>
        <w:ind w:left="320" w:hanging="320"/>
        <w:jc w:val="both"/>
      </w:pPr>
      <w:r>
        <w:rPr>
          <w:rFonts w:ascii="Times New Roman" w:hAnsi="Times New Roman" w:cs="Times New Roman" w:eastAsia="바탕"/>
          <w:b w:val="0"/>
          <w:i w:val="0"/>
          <w:sz w:val="16"/>
        </w:rPr>
        <w:t>[10] P. Juneja and L. Lomidze, “Persona-grounded safety evaluation of AI companions in multi-turn conversations,” in Proceeding of the 64th Annual Meeting of the Association for Computational Linguistics (Volume 1: Long Papers), San Diego, CA, pp. 18148-18175, 2026. DOI: 10.18653/v1/2026.acl-long.828.</w:t>
      </w:r>
    </w:p>
    <w:p>
      <w:pPr>
        <w:spacing w:line="360" w:lineRule="auto" w:before="0" w:after="0"/>
        <w:ind w:left="320" w:hanging="320"/>
        <w:jc w:val="both"/>
      </w:pPr>
      <w:r>
        <w:rPr>
          <w:rFonts w:ascii="Times New Roman" w:hAnsi="Times New Roman" w:cs="Times New Roman" w:eastAsia="바탕"/>
          <w:b w:val="0"/>
          <w:i w:val="0"/>
          <w:sz w:val="16"/>
        </w:rPr>
        <w:t>[11] Y. Liu, G. Chai, Y. Huang, J. Huang, L. Wang, and J. Wan, “CompanionBench: A Theory-Anchored, Real-World-Grounded Benchmark for AI Emotional Companionship,” arXiv preprint arXiv: 2608.02046, Aug. 2026. DOI: 10.48550/arXiv.2608.02046.</w:t>
      </w:r>
    </w:p>
    <w:p>
      <w:pPr>
        <w:spacing w:line="360" w:lineRule="auto" w:before="0" w:after="0"/>
        <w:ind w:left="320" w:hanging="320"/>
        <w:jc w:val="both"/>
      </w:pPr>
      <w:r>
        <w:rPr>
          <w:rFonts w:ascii="Times New Roman" w:hAnsi="Times New Roman" w:cs="Times New Roman" w:eastAsia="바탕"/>
          <w:b w:val="0"/>
          <w:i w:val="0"/>
          <w:sz w:val="16"/>
        </w:rPr>
        <w:t>[12] L.-A. Kaffee, G. Pistilli, and Y. Jernite, “INTIMA: A Benchmark for Human-AI Companionship Behavior,” arXiv preprint arXiv: 2508.09998, Aug. 2025. DOI: 10.48550/arXiv.2508.09998.</w:t>
      </w:r>
    </w:p>
    <w:p>
      <w:pPr>
        <w:spacing w:line="360" w:lineRule="auto" w:before="0" w:after="0"/>
        <w:ind w:left="320" w:hanging="320"/>
        <w:jc w:val="both"/>
      </w:pPr>
      <w:r>
        <w:rPr>
          <w:rFonts w:ascii="Times New Roman" w:hAnsi="Times New Roman" w:cs="Times New Roman" w:eastAsia="바탕"/>
          <w:b w:val="0"/>
          <w:i w:val="0"/>
          <w:sz w:val="16"/>
        </w:rPr>
        <w:t>[13] Z. Yue, C. Yan, F. Zhao, H. Tong, M. Xu, X. Wang, E. Lin, and Y. Zeng, “CogManip: Benchmarking Manipulative Behavior in Multi-Turn Interactions with Large Language Model,” arXiv preprint arXiv: 2606.06099, Jun. 2026. DOI: 10.48550/arXiv.2606.06099.</w:t>
      </w:r>
    </w:p>
    <w:p>
      <w:pPr>
        <w:spacing w:line="360" w:lineRule="auto" w:before="0" w:after="0"/>
        <w:ind w:left="320" w:hanging="320"/>
        <w:jc w:val="both"/>
      </w:pPr>
      <w:r>
        <w:rPr>
          <w:rFonts w:ascii="Times New Roman" w:hAnsi="Times New Roman" w:cs="Times New Roman" w:eastAsia="바탕"/>
          <w:b w:val="0"/>
          <w:i w:val="0"/>
          <w:sz w:val="16"/>
        </w:rPr>
        <w:t>[14] K. Shen, L. Li, W. Wu, Y. Teng, L. He, and Y. Wang, “Long-Term Simulation Exposes Cognitive-Developmental Risks in AI Companions,” arXiv preprint arXiv: 2606.25396, Jun. 2026. DOI: 10.48550/arXiv.2606.25396.</w:t>
      </w:r>
    </w:p>
    <w:p>
      <w:pPr>
        <w:spacing w:line="360" w:lineRule="auto" w:before="0" w:after="0"/>
        <w:ind w:left="320" w:hanging="320"/>
        <w:jc w:val="both"/>
      </w:pPr>
      <w:r>
        <w:rPr>
          <w:rFonts w:ascii="Times New Roman" w:hAnsi="Times New Roman" w:cs="Times New Roman" w:eastAsia="바탕"/>
          <w:b w:val="0"/>
          <w:i w:val="0"/>
          <w:sz w:val="16"/>
        </w:rPr>
        <w:t>[15] W. Jamil and R. Schmitt, “TAF-MED: Multi-Turn Safety Refusal Collapse in LLMs Under Declared Self-Treatment Intent,” arXiv preprint arXiv: 2608.10258, Aug. 2026. DOI: 10.48550/arXiv.2608.10258.</w:t>
      </w:r>
    </w:p>
    <w:p>
      <w:pPr>
        <w:spacing w:line="360" w:lineRule="auto" w:before="0" w:after="0"/>
        <w:ind w:left="320" w:hanging="320"/>
        <w:jc w:val="both"/>
      </w:pPr>
      <w:r>
        <w:rPr>
          <w:rFonts w:ascii="Times New Roman" w:hAnsi="Times New Roman" w:cs="Times New Roman" w:eastAsia="바탕"/>
          <w:b w:val="0"/>
          <w:i w:val="0"/>
          <w:sz w:val="16"/>
        </w:rPr>
        <w:t>[16] L. Zheng et al., “Judging LLM-as-a-judge with MT-Bench and Chatbot Arena,” in Advances in Neural Information Processing Systems 36, New Orleans, LA, pp. 46595-46623, 2023. DOI: 10.52202/075280-2020.</w:t>
      </w:r>
    </w:p>
    <w:p>
      <w:pPr>
        <w:spacing w:line="360" w:lineRule="auto" w:before="0" w:after="0"/>
        <w:ind w:left="320" w:hanging="320"/>
        <w:jc w:val="both"/>
      </w:pPr>
      <w:r>
        <w:rPr>
          <w:rFonts w:ascii="Times New Roman" w:hAnsi="Times New Roman" w:cs="Times New Roman" w:eastAsia="바탕"/>
          <w:b w:val="0"/>
          <w:i w:val="0"/>
          <w:sz w:val="16"/>
        </w:rPr>
        <w:t>[17] M. Krumdick, C. Lovering, V. Reddy, S. Ebner, and C. Tanner, “No Free Labels: Limitations of LLM-as-a-Judge Without Human Grounding,” arXiv preprint arXiv: 2503.05061, Mar. 2025. DOI: 10.48550/arXiv.2503.05061.</w:t>
      </w:r>
    </w:p>
    <w:p>
      <w:pPr>
        <w:spacing w:line="360" w:lineRule="auto" w:before="0" w:after="0"/>
        <w:ind w:left="320" w:hanging="320"/>
        <w:jc w:val="both"/>
      </w:pPr>
      <w:r>
        <w:rPr>
          <w:rFonts w:ascii="Times New Roman" w:hAnsi="Times New Roman" w:cs="Times New Roman" w:eastAsia="바탕"/>
          <w:b w:val="0"/>
          <w:i w:val="0"/>
          <w:sz w:val="16"/>
        </w:rPr>
        <w:t>[18] Y. Ren, R. Ebrahimi, and T. Ma, “AICompanionBench: Benchmarking LLMs-as-Judges for AI Companion Safety,” arXiv preprint arXiv: 2606.04867, Jun. 2026. DOI: 10.48550/arXiv.2606.04867.</w:t>
      </w:r>
    </w:p>
    <w:p>
      <w:pPr>
        <w:spacing w:line="360" w:lineRule="auto" w:before="0" w:after="0"/>
        <w:ind w:left="320" w:hanging="320"/>
        <w:jc w:val="both"/>
      </w:pPr>
      <w:r>
        <w:rPr>
          <w:rFonts w:ascii="Times New Roman" w:hAnsi="Times New Roman" w:cs="Times New Roman" w:eastAsia="바탕"/>
          <w:b w:val="0"/>
          <w:i w:val="0"/>
          <w:sz w:val="16"/>
        </w:rPr>
        <w:t>[19] H. Choi, Y. Lim, and M. Kim, “Culturally-Adapted Red-Teaming Across East and Southeast Asian Contexts: A Methodological and Comparative Analysis,” arXiv preprint arXiv: 2606.09178, Jun. 2026. DOI: 10.48550/arXiv.2606.09178.</w:t>
      </w:r>
    </w:p>
    <w:p>
      <w:pPr>
        <w:spacing w:line="360" w:lineRule="auto" w:before="0" w:after="0"/>
        <w:ind w:left="320" w:hanging="320"/>
        <w:jc w:val="both"/>
      </w:pPr>
      <w:r>
        <w:rPr>
          <w:rFonts w:ascii="Times New Roman" w:hAnsi="Times New Roman" w:cs="Times New Roman" w:eastAsia="바탕"/>
          <w:b w:val="0"/>
          <w:i w:val="0"/>
          <w:sz w:val="16"/>
        </w:rPr>
        <w:t>[20] M. S. Lee et al., “ROK-FORTRESS: Measuring the Effect of Geopolitical Transcreation for National Security and Public Safety,” arXiv preprint arXiv: 2605.14152, May 2026. DOI: 10.48550/arXiv.2605.14152.</w:t>
      </w:r>
    </w:p>
    <w:p>
      <w:pPr>
        <w:spacing w:line="360" w:lineRule="auto" w:before="0" w:after="0"/>
        <w:ind w:left="320" w:hanging="320"/>
        <w:jc w:val="both"/>
      </w:pPr>
      <w:r>
        <w:rPr>
          <w:rFonts w:ascii="Times New Roman" w:hAnsi="Times New Roman" w:cs="Times New Roman" w:eastAsia="바탕"/>
          <w:b w:val="0"/>
          <w:i w:val="0"/>
          <w:sz w:val="16"/>
        </w:rPr>
        <w:t>[21] Y. Kim et al., “KSAFE-MM: A Multimodal Safety Benchmark via Localized Contextualization for Korean Cultural Risks,” arXiv preprint arXiv: 2605.28013, May 2026. DOI: 10.48550/arXiv.2605.28013.</w:t>
      </w:r>
    </w:p>
    <w:p>
      <w:pPr>
        <w:spacing w:line="360" w:lineRule="auto" w:before="0" w:after="0"/>
        <w:ind w:left="320" w:hanging="320"/>
        <w:jc w:val="both"/>
      </w:pPr>
      <w:r>
        <w:rPr>
          <w:rFonts w:ascii="Times New Roman" w:hAnsi="Times New Roman" w:cs="Times New Roman" w:eastAsia="바탕"/>
          <w:b w:val="0"/>
          <w:i w:val="0"/>
          <w:sz w:val="16"/>
        </w:rPr>
        <w:t>[22] P. Röttger, H. Kirk, B. Vidgen, G. Attanasio, F. Bianchi, and D. Hovy, “XSTest: A test suite for identifying exaggerated safety behaviours in large language models,” in Proceeding of the 2024 Conference of the North American Chapter of the Association for Computational Linguistics: Human Language Technologies (Volume 1: Long Papers), Mexico City, Mexico, pp. 5377-5400, 2024. DOI: 10.18653/v1/2024.naacl-long.301.</w:t>
      </w:r>
    </w:p>
    <w:p>
      <w:pPr>
        <w:spacing w:line="360" w:lineRule="auto" w:before="0" w:after="0"/>
        <w:ind w:left="320" w:hanging="320"/>
        <w:jc w:val="both"/>
      </w:pPr>
      <w:r>
        <w:rPr>
          <w:rFonts w:ascii="Times New Roman" w:hAnsi="Times New Roman" w:cs="Times New Roman" w:eastAsia="바탕"/>
          <w:b w:val="0"/>
          <w:i w:val="0"/>
          <w:sz w:val="16"/>
        </w:rPr>
        <w:t>[23] Qwen Team, A. Yang et al., “Qwen2.5 Technical Report,” arXiv preprint arXiv: 2412.15115, Dec. 2024. DOI: 10.48550/arXiv.2412.15115.</w:t>
      </w:r>
    </w:p>
    <w:p>
      <w:pPr>
        <w:spacing w:line="360" w:lineRule="auto" w:before="0" w:after="0"/>
        <w:ind w:left="320" w:hanging="320"/>
        <w:jc w:val="both"/>
      </w:pPr>
      <w:r>
        <w:rPr>
          <w:rFonts w:ascii="Times New Roman" w:hAnsi="Times New Roman" w:cs="Times New Roman" w:eastAsia="바탕"/>
          <w:b w:val="0"/>
          <w:i w:val="0"/>
          <w:sz w:val="16"/>
        </w:rPr>
        <w:t>[24] K. Bae et al., “EXAONE 4.0: Unified Large Language Models Integrating Non-reasoning and Reasoning Modes,” arXiv preprint arXiv: 2507.11407, Jul. 2025. DOI: 10.48550/arXiv.2507.11407.</w:t>
      </w:r>
    </w:p>
    <w:p>
      <w:pPr>
        <w:spacing w:line="360" w:lineRule="auto" w:before="0" w:after="0"/>
        <w:ind w:left="320" w:hanging="320"/>
        <w:jc w:val="both"/>
      </w:pPr>
      <w:r>
        <w:rPr>
          <w:rFonts w:ascii="Times New Roman" w:hAnsi="Times New Roman" w:cs="Times New Roman" w:eastAsia="바탕"/>
          <w:b w:val="0"/>
          <w:i w:val="0"/>
          <w:sz w:val="16"/>
        </w:rPr>
        <w:t>[25] Kanana LLM Team, Y. Bak et al., “Kanana: Compute-efficient Bilingual Language Models,” arXiv preprint arXiv: 2502.18934, Feb. 2025. DOI: 10.48550/arXiv.2502.18934.</w:t>
      </w:r>
    </w:p>
    <w:p>
      <w:pPr>
        <w:spacing w:line="360" w:lineRule="auto" w:before="0" w:after="0"/>
        <w:ind w:left="320" w:hanging="320"/>
        <w:jc w:val="both"/>
      </w:pPr>
      <w:r>
        <w:rPr>
          <w:rFonts w:ascii="Times New Roman" w:hAnsi="Times New Roman" w:cs="Times New Roman" w:eastAsia="바탕"/>
          <w:b w:val="0"/>
          <w:i w:val="0"/>
          <w:sz w:val="16"/>
        </w:rPr>
        <w:t>[26] Kakao Corp. kanana-1.5-8b-instruct-2505 [Internet]. Available: https://huggingface.co/kakaocorp/kanana-1.5-8b-instruct-2505.</w:t>
      </w:r>
    </w:p>
    <w:p>
      <w:pPr>
        <w:spacing w:line="360" w:lineRule="auto" w:before="0" w:after="0"/>
        <w:ind w:left="320" w:hanging="320"/>
        <w:jc w:val="both"/>
      </w:pPr>
      <w:r>
        <w:rPr>
          <w:rFonts w:ascii="Times New Roman" w:hAnsi="Times New Roman" w:cs="Times New Roman" w:eastAsia="바탕"/>
          <w:b w:val="0"/>
          <w:i w:val="0"/>
          <w:sz w:val="16"/>
        </w:rPr>
        <w:t>[27] Gemma Team, A. Kamath et al., “Gemma 3 Technical Report,” arXiv preprint arXiv: 2503.19786, Mar. 2025. DOI: 10.48550/arXiv.2503.19786.</w:t>
      </w:r>
    </w:p>
    <w:p>
      <w:pPr>
        <w:spacing w:line="360" w:lineRule="auto" w:before="0" w:after="0"/>
        <w:ind w:left="320" w:hanging="320"/>
        <w:jc w:val="both"/>
      </w:pPr>
      <w:r>
        <w:rPr>
          <w:rFonts w:ascii="Times New Roman" w:hAnsi="Times New Roman" w:cs="Times New Roman" w:eastAsia="바탕"/>
          <w:b w:val="0"/>
          <w:i w:val="0"/>
          <w:sz w:val="16"/>
        </w:rPr>
        <w:t>[28] NAVER Cloud HyperCLOVA X Team, “HyperCLOVA X THINK Technical Report,” arXiv preprint arXiv: 2506.22403, Jun. 2025. DOI: 10.48550/arXiv.2506.22403.</w:t>
      </w:r>
    </w:p>
    <w:p>
      <w:pPr>
        <w:spacing w:line="360" w:lineRule="auto" w:before="0" w:after="0"/>
        <w:ind w:left="320" w:hanging="320"/>
        <w:jc w:val="both"/>
      </w:pPr>
      <w:r>
        <w:rPr>
          <w:rFonts w:ascii="Times New Roman" w:hAnsi="Times New Roman" w:cs="Times New Roman" w:eastAsia="바탕"/>
          <w:b w:val="0"/>
          <w:i w:val="0"/>
          <w:sz w:val="16"/>
        </w:rPr>
        <w:t>[29] NAVER Cloud. HyperCLOVAX-SEED-Think-14B [Internet]. Available: https://huggingface.co/naver-hyperclovax/HyperCLOVAX-SEED-Think-14B.</w:t>
      </w:r>
    </w:p>
    <w:p>
      <w:pPr>
        <w:spacing w:line="360" w:lineRule="auto" w:before="0" w:after="0"/>
        <w:ind w:left="320" w:hanging="320"/>
        <w:jc w:val="both"/>
      </w:pPr>
      <w:r>
        <w:rPr>
          <w:rFonts w:ascii="Times New Roman" w:hAnsi="Times New Roman" w:cs="Times New Roman" w:eastAsia="바탕"/>
          <w:b w:val="0"/>
          <w:i w:val="0"/>
          <w:sz w:val="16"/>
        </w:rPr>
        <w:t>[30] W. Kwon, Z. Li, S. Zhuang, Y. Sheng, L. Zheng, C. H. Yu, J. Gonzalez, H. Zhang, and I. Stoica, “Efficient memory management for large language model serving with PagedAttention,” in Proceeding of the 29th Symposium on Operating Systems Principles, Koblenz, Germany, pp. 611-626, 2023. DOI: 10.1145/3600006.3613165.</w:t>
      </w:r>
    </w:p>
    <w:p>
      <w:pPr>
        <w:spacing w:line="360" w:lineRule="auto" w:before="0" w:after="0"/>
        <w:ind w:left="320" w:hanging="320"/>
        <w:jc w:val="both"/>
      </w:pPr>
      <w:r>
        <w:rPr>
          <w:rFonts w:ascii="Times New Roman" w:hAnsi="Times New Roman" w:cs="Times New Roman" w:eastAsia="바탕"/>
          <w:b w:val="0"/>
          <w:i w:val="0"/>
          <w:sz w:val="16"/>
        </w:rPr>
        <w:t>[31] A. Grattafiori et al., “The Llama 3 Herd of Models,” arXiv preprint arXiv: 2407.21783, Jul. 2024. DOI: 10.48550/arXiv.2407.21783.</w:t>
      </w:r>
    </w:p>
    <w:p>
      <w:pPr>
        <w:spacing w:line="360" w:lineRule="auto" w:before="0" w:after="0"/>
        <w:ind w:left="320" w:hanging="320"/>
        <w:jc w:val="both"/>
      </w:pPr>
      <w:r>
        <w:rPr>
          <w:rFonts w:ascii="Times New Roman" w:hAnsi="Times New Roman" w:cs="Times New Roman" w:eastAsia="바탕"/>
          <w:b w:val="0"/>
          <w:i w:val="0"/>
          <w:sz w:val="16"/>
        </w:rPr>
        <w:t>[32] Mistral AI. Mistral-Small-3.2-24B-Instruct-2506 [Internet]. Available: https://huggingface.co/mistralai/Mistral-Small-3.2-24B-Instruct-2506.</w:t>
      </w:r>
    </w:p>
    <w:p>
      <w:pPr>
        <w:spacing w:line="360" w:lineRule="auto" w:before="0" w:after="0"/>
        <w:ind w:left="320" w:hanging="320"/>
        <w:jc w:val="both"/>
      </w:pPr>
      <w:r>
        <w:rPr>
          <w:rFonts w:ascii="Times New Roman" w:hAnsi="Times New Roman" w:cs="Times New Roman" w:eastAsia="바탕"/>
          <w:b w:val="0"/>
          <w:i w:val="0"/>
          <w:sz w:val="16"/>
        </w:rPr>
        <w:t>[33] M. Abdin et al., “Phi-4 Technical Report,” arXiv preprint arXiv: 2412.08905, Dec. 2024. DOI: 10.48550/arXiv.2412.08905.</w:t>
      </w:r>
    </w:p>
    <w:p>
      <w:pPr>
        <w:spacing w:line="360" w:lineRule="auto" w:before="0" w:after="0"/>
        <w:ind w:left="320" w:hanging="320"/>
        <w:jc w:val="both"/>
      </w:pPr>
      <w:r>
        <w:rPr>
          <w:rFonts w:ascii="Times New Roman" w:hAnsi="Times New Roman" w:cs="Times New Roman" w:eastAsia="바탕"/>
          <w:b w:val="0"/>
          <w:i w:val="0"/>
          <w:sz w:val="16"/>
        </w:rPr>
        <w:t>[34] S. Holm, “A simple sequentially rejective multiple test procedure,” Scandinavian Journal of Statistics, vol. 6, no. 2, pp. 65-70, 1979. Available: https://www.jstor.org/stable/4615733.</w:t>
      </w:r>
    </w:p>
    <w:p>
      <w:pPr>
        <w:spacing w:line="360" w:lineRule="auto" w:before="0" w:after="0"/>
        <w:ind w:left="320" w:hanging="320"/>
        <w:jc w:val="both"/>
      </w:pPr>
      <w:r>
        <w:rPr>
          <w:rFonts w:ascii="Times New Roman" w:hAnsi="Times New Roman" w:cs="Times New Roman" w:eastAsia="바탕"/>
          <w:b w:val="0"/>
          <w:i w:val="0"/>
          <w:sz w:val="16"/>
        </w:rPr>
        <w:t>[35] D. J. Schuirmann, “A comparison of the two one-sided tests procedure and the power approach for assessing the equivalence of average bioavailability,” Journal of Pharmacokinetics and Biopharmaceutics, vol. 15, no. 6, pp. 657-680, Dec. 1987. DOI: 10.1007/BF01068419.</w:t>
      </w:r>
    </w:p>
    <w:p>
      <w:pPr>
        <w:spacing w:line="360" w:lineRule="auto" w:before="0" w:after="0"/>
        <w:ind w:left="320" w:hanging="320"/>
        <w:jc w:val="both"/>
      </w:pPr>
      <w:r>
        <w:rPr>
          <w:rFonts w:ascii="Times New Roman" w:hAnsi="Times New Roman" w:cs="Times New Roman" w:eastAsia="바탕"/>
          <w:b w:val="0"/>
          <w:i w:val="0"/>
          <w:sz w:val="16"/>
        </w:rPr>
        <w:t>[36] K. L. Gwet, “Computing inter-rater reliability and its variance in the presence of high agreement,” British Journal of Mathematical and Statistical Psychology, vol. 61, no. 1, pp. 29-48, May 2008. DOI: 10.1348/000711006X126600.</w:t>
      </w:r>
    </w:p>
    <w:p>
      <w:pPr>
        <w:spacing w:line="360" w:lineRule="auto" w:before="0" w:after="0"/>
        <w:ind w:left="320" w:hanging="320"/>
        <w:jc w:val="both"/>
      </w:pPr>
      <w:r>
        <w:rPr>
          <w:rFonts w:ascii="Times New Roman" w:hAnsi="Times New Roman" w:cs="Times New Roman" w:eastAsia="바탕"/>
          <w:b w:val="0"/>
          <w:i w:val="0"/>
          <w:sz w:val="16"/>
        </w:rPr>
        <w:t>[37] K. L. Gwet, Handbook of Inter-Rater Reliability, 4th ed. Gaithersburg, MD: Advanced Analytics, 2014.</w:t>
      </w:r>
    </w:p>
    <w:p>
      <w:pPr>
        <w:spacing w:line="312" w:lineRule="auto" w:before="200" w:after="0"/>
      </w:pPr>
      <w:r>
        <w:rPr>
          <w:rFonts w:ascii="Arial" w:hAnsi="Arial" w:cs="Arial" w:eastAsia="맑은 고딕"/>
          <w:b/>
          <w:i w:val="0"/>
          <w:sz w:val="18"/>
        </w:rPr>
        <w:t>정원철(Woncheol Jeong)</w:t>
      </w:r>
    </w:p>
    <w:p>
      <w:pPr>
        <w:spacing w:line="312" w:lineRule="auto" w:before="0" w:after="0"/>
      </w:pPr>
      <w:r>
        <w:rPr>
          <w:rFonts w:ascii="Times New Roman" w:hAnsi="Times New Roman" w:cs="Times New Roman" w:eastAsia="바탕"/>
          <w:b w:val="0"/>
          <w:i w:val="0"/>
          <w:sz w:val="16"/>
        </w:rPr>
        <w:t>약력</w:t>
      </w:r>
    </w:p>
    <w:p>
      <w:pPr>
        <w:spacing w:line="312" w:lineRule="auto" w:before="0" w:after="0"/>
      </w:pPr>
      <w:r>
        <w:rPr>
          <w:rFonts w:ascii="Times New Roman" w:hAnsi="Times New Roman" w:cs="Times New Roman" w:eastAsia="바탕"/>
          <w:b w:val="0"/>
          <w:i w:val="0"/>
          <w:sz w:val="16"/>
        </w:rPr>
        <w:t>․1999년 2월 : 서울대학교 재료공학부(공학사)</w:t>
      </w:r>
    </w:p>
    <w:p>
      <w:pPr>
        <w:spacing w:line="312" w:lineRule="auto" w:before="0" w:after="0"/>
      </w:pPr>
      <w:r>
        <w:rPr>
          <w:rFonts w:ascii="Times New Roman" w:hAnsi="Times New Roman" w:cs="Times New Roman" w:eastAsia="바탕"/>
          <w:b w:val="0"/>
          <w:i w:val="0"/>
          <w:sz w:val="16"/>
        </w:rPr>
        <w:t>․2001년 8월 : 서울대학교 재료공학부(공학석사)</w:t>
      </w:r>
    </w:p>
    <w:p>
      <w:pPr>
        <w:spacing w:line="312" w:lineRule="auto" w:before="0" w:after="0"/>
      </w:pPr>
      <w:r>
        <w:rPr>
          <w:rFonts w:ascii="Times New Roman" w:hAnsi="Times New Roman" w:cs="Times New Roman" w:eastAsia="바탕"/>
          <w:b w:val="0"/>
          <w:i w:val="0"/>
          <w:sz w:val="16"/>
        </w:rPr>
        <w:t>․2005년 2월 : MIT 기계공학 생명공학 (공학석사)</w:t>
      </w:r>
    </w:p>
    <w:p>
      <w:pPr>
        <w:spacing w:line="312" w:lineRule="auto" w:before="0" w:after="0"/>
      </w:pPr>
      <w:r>
        <w:rPr>
          <w:rFonts w:ascii="Times New Roman" w:hAnsi="Times New Roman" w:cs="Times New Roman" w:eastAsia="바탕"/>
          <w:b w:val="0"/>
          <w:i w:val="0"/>
          <w:sz w:val="16"/>
        </w:rPr>
        <w:t>․2017년 2월 : 서울대학교 재료공학부(공학박사)</w:t>
      </w:r>
    </w:p>
    <w:p>
      <w:pPr>
        <w:spacing w:line="312" w:lineRule="auto" w:before="0" w:after="0"/>
      </w:pPr>
      <w:r>
        <w:rPr>
          <w:rFonts w:ascii="Times New Roman" w:hAnsi="Times New Roman" w:cs="Times New Roman" w:eastAsia="바탕"/>
          <w:b w:val="0"/>
          <w:i w:val="0"/>
          <w:sz w:val="16"/>
        </w:rPr>
        <w:t>․2018년 4월 ～ 2018년 6월: Beihang Univ, 연구교수</w:t>
      </w:r>
    </w:p>
    <w:p>
      <w:pPr>
        <w:spacing w:line="312" w:lineRule="auto" w:before="0" w:after="0"/>
      </w:pPr>
      <w:r>
        <w:rPr>
          <w:rFonts w:ascii="Times New Roman" w:hAnsi="Times New Roman" w:cs="Times New Roman" w:eastAsia="바탕"/>
          <w:b w:val="0"/>
          <w:i w:val="0"/>
          <w:sz w:val="16"/>
        </w:rPr>
        <w:t>․2018년 10월 ～ 2019년 4월: Ton Duc Thang Univ, 선임연구원</w:t>
      </w:r>
    </w:p>
    <w:p>
      <w:pPr>
        <w:spacing w:line="312" w:lineRule="auto" w:before="0" w:after="0"/>
      </w:pPr>
      <w:r>
        <w:rPr>
          <w:rFonts w:ascii="Times New Roman" w:hAnsi="Times New Roman" w:cs="Times New Roman" w:eastAsia="바탕"/>
          <w:b w:val="0"/>
          <w:i w:val="0"/>
          <w:sz w:val="16"/>
        </w:rPr>
        <w:t>․2019년 9월 ～ 2020년 9월: Far Eastern Federal Univ, 부교수</w:t>
      </w:r>
    </w:p>
    <w:p>
      <w:pPr>
        <w:spacing w:line="312" w:lineRule="auto" w:before="0" w:after="0"/>
      </w:pPr>
      <w:r>
        <w:rPr>
          <w:rFonts w:ascii="Times New Roman" w:hAnsi="Times New Roman" w:cs="Times New Roman" w:eastAsia="바탕"/>
          <w:b w:val="0"/>
          <w:i w:val="0"/>
          <w:sz w:val="16"/>
        </w:rPr>
        <w:t>․2021년 9월 ～ 2022년 8월: 서울시립대학교, 강사</w:t>
      </w:r>
    </w:p>
    <w:p>
      <w:pPr>
        <w:spacing w:line="312" w:lineRule="auto" w:before="0" w:after="0"/>
      </w:pPr>
      <w:r>
        <w:rPr>
          <w:rFonts w:ascii="Times New Roman" w:hAnsi="Times New Roman" w:cs="Times New Roman" w:eastAsia="바탕"/>
          <w:b w:val="0"/>
          <w:i w:val="0"/>
          <w:sz w:val="16"/>
        </w:rPr>
        <w:t>․2022년 3월 ～ 2023년 2월: 고려대학교, 연구교수</w:t>
      </w:r>
    </w:p>
    <w:p>
      <w:pPr>
        <w:spacing w:line="312" w:lineRule="auto" w:before="0" w:after="0"/>
      </w:pPr>
      <w:r>
        <w:rPr>
          <w:rFonts w:ascii="Times New Roman" w:hAnsi="Times New Roman" w:cs="Times New Roman" w:eastAsia="바탕"/>
          <w:b w:val="0"/>
          <w:i w:val="0"/>
          <w:sz w:val="16"/>
        </w:rPr>
        <w:t>․2023년 3월 ～ 2023년 12월: 포항공과대학교, 연구교수</w:t>
      </w:r>
    </w:p>
    <w:p>
      <w:pPr>
        <w:spacing w:line="312" w:lineRule="auto" w:before="0" w:after="0"/>
      </w:pPr>
      <w:r>
        <w:rPr>
          <w:rFonts w:ascii="Times New Roman" w:hAnsi="Times New Roman" w:cs="Times New Roman" w:eastAsia="바탕"/>
          <w:b w:val="0"/>
          <w:i w:val="0"/>
          <w:sz w:val="16"/>
        </w:rPr>
        <w:t>․2024년 1월 ～ 2025년 1월: 난양공과대학교, 책임연구원</w:t>
      </w:r>
    </w:p>
    <w:p>
      <w:pPr>
        <w:spacing w:line="312" w:lineRule="auto" w:before="0" w:after="0"/>
      </w:pPr>
      <w:r>
        <w:rPr>
          <w:rFonts w:ascii="Times New Roman" w:hAnsi="Times New Roman" w:cs="Times New Roman" w:eastAsia="바탕"/>
          <w:b w:val="0"/>
          <w:i w:val="0"/>
          <w:sz w:val="16"/>
        </w:rPr>
        <w:t>․2024년 9월 ～ 현재: 성균관대학교, 연구교수</w:t>
      </w:r>
    </w:p>
    <w:p>
      <w:pPr>
        <w:spacing w:line="312" w:lineRule="auto" w:before="0" w:after="0"/>
      </w:pPr>
      <w:r>
        <w:rPr>
          <w:rFonts w:ascii="Times New Roman" w:hAnsi="Times New Roman" w:cs="Times New Roman" w:eastAsia="바탕"/>
          <w:b w:val="0"/>
          <w:i w:val="0"/>
          <w:sz w:val="16"/>
        </w:rPr>
        <w:t>※관심분야 : AI, 생명공학, 재료, 기계, Quantum</w:t>
      </w:r>
    </w:p>
    <w:p>
      <w:pPr>
        <w:spacing w:line="312" w:lineRule="auto" w:before="200" w:after="0"/>
      </w:pPr>
      <w:r>
        <w:rPr>
          <w:rFonts w:ascii="Arial" w:hAnsi="Arial" w:cs="Arial" w:eastAsia="맑은 고딕"/>
          <w:b/>
          <w:i w:val="0"/>
          <w:sz w:val="18"/>
        </w:rPr>
        <w:t>오하영(Hayoung Oh)</w:t>
      </w:r>
    </w:p>
    <w:p>
      <w:pPr>
        <w:spacing w:line="312" w:lineRule="auto" w:before="0" w:after="0"/>
      </w:pPr>
      <w:r>
        <w:rPr>
          <w:rFonts w:ascii="Times New Roman" w:hAnsi="Times New Roman" w:cs="Times New Roman" w:eastAsia="바탕"/>
          <w:b w:val="0"/>
          <w:i w:val="0"/>
          <w:sz w:val="16"/>
        </w:rPr>
        <w:t>약력</w:t>
      </w:r>
    </w:p>
    <w:p>
      <w:pPr>
        <w:spacing w:line="312" w:lineRule="auto" w:before="0" w:after="0"/>
      </w:pPr>
      <w:r>
        <w:rPr>
          <w:rFonts w:ascii="Times New Roman" w:hAnsi="Times New Roman" w:cs="Times New Roman" w:eastAsia="바탕"/>
          <w:b w:val="0"/>
          <w:i w:val="0"/>
          <w:sz w:val="16"/>
        </w:rPr>
        <w:t>․2013년 2월 : 서울대학교 컴퓨터공학부(공학박사)</w:t>
      </w:r>
    </w:p>
    <w:p>
      <w:pPr>
        <w:spacing w:line="312" w:lineRule="auto" w:before="0" w:after="0"/>
      </w:pPr>
      <w:r>
        <w:rPr>
          <w:rFonts w:ascii="Times New Roman" w:hAnsi="Times New Roman" w:cs="Times New Roman" w:eastAsia="바탕"/>
          <w:b w:val="0"/>
          <w:i w:val="0"/>
          <w:sz w:val="16"/>
        </w:rPr>
        <w:t>․2013년 3월 ～ 2013년 8월: 서울시립대학교, 연구교수</w:t>
      </w:r>
    </w:p>
    <w:p>
      <w:pPr>
        <w:spacing w:line="312" w:lineRule="auto" w:before="0" w:after="0"/>
      </w:pPr>
      <w:r>
        <w:rPr>
          <w:rFonts w:ascii="Times New Roman" w:hAnsi="Times New Roman" w:cs="Times New Roman" w:eastAsia="바탕"/>
          <w:b w:val="0"/>
          <w:i w:val="0"/>
          <w:sz w:val="16"/>
        </w:rPr>
        <w:t>․2013년 9월 ～ 2016년 8월: 숭실대학교, 조교수</w:t>
      </w:r>
    </w:p>
    <w:p>
      <w:pPr>
        <w:spacing w:line="312" w:lineRule="auto" w:before="0" w:after="0"/>
      </w:pPr>
      <w:r>
        <w:rPr>
          <w:rFonts w:ascii="Times New Roman" w:hAnsi="Times New Roman" w:cs="Times New Roman" w:eastAsia="바탕"/>
          <w:b w:val="0"/>
          <w:i w:val="0"/>
          <w:sz w:val="16"/>
        </w:rPr>
        <w:t>․2016년 9월 ～ 2020년 2월: 아주대학교, 조교수</w:t>
      </w:r>
    </w:p>
    <w:p>
      <w:pPr>
        <w:spacing w:line="312" w:lineRule="auto" w:before="0" w:after="0"/>
      </w:pPr>
      <w:r>
        <w:rPr>
          <w:rFonts w:ascii="Times New Roman" w:hAnsi="Times New Roman" w:cs="Times New Roman" w:eastAsia="바탕"/>
          <w:b w:val="0"/>
          <w:i w:val="0"/>
          <w:sz w:val="16"/>
        </w:rPr>
        <w:t>․2020년 3월 ～ 현재: 성균관대학교, 부교수</w:t>
      </w:r>
    </w:p>
    <w:p>
      <w:pPr>
        <w:spacing w:line="312" w:lineRule="auto" w:before="0" w:after="0"/>
      </w:pPr>
      <w:r>
        <w:rPr>
          <w:rFonts w:ascii="Times New Roman" w:hAnsi="Times New Roman" w:cs="Times New Roman" w:eastAsia="바탕"/>
          <w:b w:val="0"/>
          <w:i w:val="0"/>
          <w:sz w:val="16"/>
        </w:rPr>
        <w:t>․2025년 3월 ～ 현재: 인공지능융합학과, 학과장</w:t>
      </w:r>
    </w:p>
    <w:p>
      <w:pPr>
        <w:spacing w:line="312" w:lineRule="auto" w:before="0" w:after="0"/>
      </w:pPr>
      <w:r>
        <w:rPr>
          <w:rFonts w:ascii="Times New Roman" w:hAnsi="Times New Roman" w:cs="Times New Roman" w:eastAsia="바탕"/>
          <w:b w:val="0"/>
          <w:i w:val="0"/>
          <w:sz w:val="16"/>
        </w:rPr>
        <w:t>․2024년 4월 ～ 현재: 지능형디지털치료기기센터, 센터장</w:t>
      </w:r>
    </w:p>
    <w:p>
      <w:pPr>
        <w:spacing w:line="312" w:lineRule="auto" w:before="0" w:after="0"/>
      </w:pPr>
      <w:r>
        <w:rPr>
          <w:rFonts w:ascii="Times New Roman" w:hAnsi="Times New Roman" w:cs="Times New Roman" w:eastAsia="바탕"/>
          <w:b w:val="0"/>
          <w:i w:val="0"/>
          <w:sz w:val="16"/>
        </w:rPr>
        <w:t>※관심분야 : AI</w:t>
      </w:r>
    </w:p>
    <w:sectPr w:rsidR="00FC693F" w:rsidRPr="0006063C" w:rsidSect="00034616">
      <w:type w:val="continuous"/>
      <w:pgSz w:w="11906" w:h="16838"/>
      <w:pgMar w:top="2183" w:right="1701" w:bottom="2183" w:left="1701" w:header="567" w:footer="567"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Relational Safety in Simulated Korean Adolescent Dialogues and the Limitations of Open-Weight LLM Judging</dc:title>
  <dc:subject/>
  <dc:creator>Woncheol Jeong; Hayoung Oh</dc:creator>
  <cp:keywords/>
  <dc:description/>
  <cp:lastModifiedBy/>
  <cp:revision>1</cp:revision>
  <dcterms:created xsi:type="dcterms:W3CDTF">2013-12-23T23:15:00Z</dcterms:created>
  <dcterms:modified xsi:type="dcterms:W3CDTF">2013-12-23T23:15:00Z</dcterms:modified>
  <cp:category/>
</cp:coreProperties>
</file>