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0"/>
          <w:szCs w:val="30"/>
        </w:rPr>
        <w:t xml:space="preserve">[TITLE]  Direction Dependence Analysis in R: A Tutorial on the dda Package</w:t>
      </w:r>
    </w:p>
    <w:p>
      <w:pPr>
        <w:spacing w:after="60"/>
        <w:jc w:val="center"/>
      </w:pPr>
      <w:r>
        <w:rPr>
          <w:rFonts w:ascii="Times New Roman" w:cs="Times New Roman" w:eastAsia="Times New Roman" w:hAnsi="Times New Roman"/>
          <w:sz w:val="24"/>
          <w:szCs w:val="24"/>
        </w:rPr>
        <w:t xml:space="preserve">Megan J. Hirni¹ and Wolfgang Wiedermann¹</w:t>
      </w:r>
    </w:p>
    <w:p>
      <w:pPr>
        <w:spacing w:after="60"/>
        <w:jc w:val="center"/>
      </w:pPr>
      <w:r>
        <w:rPr>
          <w:rFonts w:ascii="Times New Roman" w:cs="Times New Roman" w:eastAsia="Times New Roman" w:hAnsi="Times New Roman"/>
          <w:i/>
          <w:iCs/>
          <w:sz w:val="22"/>
          <w:szCs w:val="22"/>
        </w:rPr>
        <w:t xml:space="preserve">¹ Department of Educational, School, and Counseling Psychology, University of Missouri</w:t>
      </w:r>
    </w:p>
    <w:p>
      <w:pPr>
        <w:spacing w:after="240"/>
        <w:jc w:val="center"/>
      </w:pPr>
      <w:r>
        <w:rPr>
          <w:rFonts w:ascii="Times New Roman" w:cs="Times New Roman" w:eastAsia="Times New Roman" w:hAnsi="Times New Roman"/>
          <w:sz w:val="22"/>
          <w:szCs w:val="22"/>
        </w:rPr>
        <w:t xml:space="preserve">Target outlet: Multivariate Behavioral Research</w:t>
      </w:r>
    </w:p>
    <w:p>
      <w:pPr>
        <w:spacing w:after="120" w:line="300"/>
      </w:pPr>
      <w:r>
        <w:rPr>
          <w:rFonts w:ascii="Times New Roman" w:cs="Times New Roman" w:eastAsia="Times New Roman" w:hAnsi="Times New Roman"/>
          <w:i/>
          <w:iCs/>
          <w:color w:val="555555"/>
          <w:sz w:val="20"/>
          <w:szCs w:val="20"/>
        </w:rPr>
        <w:t xml:space="preserve">Template note. MBR publishes full-length methodological articles and shorter, pedagogically oriented pieces. Confirm the current article type, length ceiling, and abstract limit on the journal’s Instructions for Authors page before you start writing, and set the target length here so every section budget below is anchored to a real number. Style is APA 7.</w:t>
      </w:r>
    </w:p>
    <w:p>
      <w:pPr>
        <w:spacing w:after="120" w:line="300"/>
      </w:pPr>
      <w:r>
        <w:rPr>
          <w:rFonts w:ascii="Times New Roman" w:cs="Times New Roman" w:eastAsia="Times New Roman" w:hAnsi="Times New Roman"/>
          <w:i/>
          <w:iCs/>
          <w:color w:val="555555"/>
          <w:sz w:val="20"/>
          <w:szCs w:val="20"/>
        </w:rPr>
        <w:t xml:space="preserve">How to use this template: each section states its job in one line, then bullets the content to write. Delete the italic guidance as you fill each section in. Suggested word budgets are proportions of a ~9,000-word target — rescale as needed.</w:t>
      </w:r>
    </w:p>
    <w:p>
      <w:pPr>
        <w:pBdr>
          <w:bottom w:val="single" w:color="BBBBBB" w:sz="6" w:space="1"/>
        </w:pBdr>
        <w:spacing w:after="120" w:before="120"/>
      </w:pPr>
    </w:p>
    <w:p>
      <w:pPr>
        <w:pStyle w:val="Heading1"/>
        <w:spacing w:after="140" w:before="320"/>
      </w:pPr>
      <w:r>
        <w:rPr>
          <w:rFonts w:ascii="Times New Roman" w:cs="Times New Roman" w:eastAsia="Times New Roman" w:hAnsi="Times New Roman"/>
          <w:b/>
          <w:bCs/>
          <w:sz w:val="26"/>
          <w:szCs w:val="26"/>
        </w:rPr>
        <w:t xml:space="preserve">Abstract</w:t>
      </w:r>
    </w:p>
    <w:p>
      <w:pPr>
        <w:spacing w:after="120" w:line="300"/>
      </w:pPr>
      <w:r>
        <w:rPr>
          <w:rFonts w:ascii="Times New Roman" w:cs="Times New Roman" w:eastAsia="Times New Roman" w:hAnsi="Times New Roman"/>
          <w:i/>
          <w:iCs/>
          <w:color w:val="555555"/>
          <w:sz w:val="20"/>
          <w:szCs w:val="20"/>
        </w:rPr>
        <w:t xml:space="preserve">Job: convince a methodologist in 200 words that the problem is real, that dda solves it, and that the paper is usable. Budget ~200 words.</w:t>
      </w:r>
    </w:p>
    <w:p>
      <w:pPr>
        <w:pStyle w:val="ListParagraph"/>
        <w:numPr>
          <w:ilvl w:val="0"/>
          <w:numId w:val="2"/>
        </w:numPr>
        <w:spacing w:after="60" w:line="300"/>
      </w:pPr>
      <w:r>
        <w:rPr>
          <w:rFonts w:ascii="Times New Roman" w:cs="Times New Roman" w:eastAsia="Times New Roman" w:hAnsi="Times New Roman"/>
          <w:sz w:val="22"/>
          <w:szCs w:val="22"/>
        </w:rPr>
        <w:t xml:space="preserve">Sentence 1–2: the inferential problem — in observational behavioral data, y ~ x and x ~ y fit equally well under the classical linear model with normal errors, so regression alone cannot adjudicate direction.</w:t>
      </w:r>
    </w:p>
    <w:p>
      <w:pPr>
        <w:pStyle w:val="ListParagraph"/>
        <w:numPr>
          <w:ilvl w:val="0"/>
          <w:numId w:val="2"/>
        </w:numPr>
        <w:spacing w:after="60" w:line="300"/>
      </w:pPr>
      <w:r>
        <w:rPr>
          <w:rFonts w:ascii="Times New Roman" w:cs="Times New Roman" w:eastAsia="Times New Roman" w:hAnsi="Times New Roman"/>
          <w:sz w:val="22"/>
          <w:szCs w:val="22"/>
        </w:rPr>
        <w:t xml:space="preserve">Sentence 3–4: the resolution — higher-order moment information (non-normality of variables, of residuals, and predictor–residual independence) breaks the symmetry, following Wiedermann &amp; von Eye (2025).</w:t>
      </w:r>
    </w:p>
    <w:p>
      <w:pPr>
        <w:pStyle w:val="ListParagraph"/>
        <w:numPr>
          <w:ilvl w:val="0"/>
          <w:numId w:val="2"/>
        </w:numPr>
        <w:spacing w:after="60" w:line="300"/>
      </w:pPr>
      <w:r>
        <w:rPr>
          <w:rFonts w:ascii="Times New Roman" w:cs="Times New Roman" w:eastAsia="Times New Roman" w:hAnsi="Times New Roman"/>
          <w:sz w:val="22"/>
          <w:szCs w:val="22"/>
        </w:rPr>
        <w:t xml:space="preserve">Sentence 5–6: what dda contributes — a single interface covering variable-distribution, residual-distribution, and independence-based tests; conditional (moderated) versions; robust estimation; and bootstrap aggregation for decision stability.</w:t>
      </w:r>
    </w:p>
    <w:p>
      <w:pPr>
        <w:pStyle w:val="ListParagraph"/>
        <w:numPr>
          <w:ilvl w:val="0"/>
          <w:numId w:val="2"/>
        </w:numPr>
        <w:spacing w:after="60" w:line="300"/>
      </w:pPr>
      <w:r>
        <w:rPr>
          <w:rFonts w:ascii="Times New Roman" w:cs="Times New Roman" w:eastAsia="Times New Roman" w:hAnsi="Times New Roman"/>
          <w:sz w:val="22"/>
          <w:szCs w:val="22"/>
        </w:rPr>
        <w:t xml:space="preserve">Sentence 7–8: what the reader gets — an annotated worked example on real behavioral data, guidance on choosing among tests, and reproducible code.</w:t>
      </w:r>
    </w:p>
    <w:p>
      <w:pPr>
        <w:pStyle w:val="ListParagraph"/>
        <w:numPr>
          <w:ilvl w:val="0"/>
          <w:numId w:val="2"/>
        </w:numPr>
        <w:spacing w:after="60" w:line="300"/>
      </w:pPr>
      <w:r>
        <w:rPr>
          <w:rFonts w:ascii="Times New Roman" w:cs="Times New Roman" w:eastAsia="Times New Roman" w:hAnsi="Times New Roman"/>
          <w:sz w:val="22"/>
          <w:szCs w:val="22"/>
        </w:rPr>
        <w:t xml:space="preserve">Keywords: direction dependence; causal discovery; non-normality; higher-order moments; R package; bootstrap aggregation.</w:t>
      </w:r>
    </w:p>
    <w:p>
      <w:pPr>
        <w:pStyle w:val="Heading1"/>
        <w:spacing w:after="140" w:before="320"/>
      </w:pPr>
      <w:r>
        <w:rPr>
          <w:rFonts w:ascii="Times New Roman" w:cs="Times New Roman" w:eastAsia="Times New Roman" w:hAnsi="Times New Roman"/>
          <w:b/>
          <w:bCs/>
          <w:sz w:val="26"/>
          <w:szCs w:val="26"/>
        </w:rPr>
        <w:t xml:space="preserve">1. Introduction</w:t>
      </w:r>
    </w:p>
    <w:p>
      <w:pPr>
        <w:spacing w:after="120" w:line="300"/>
      </w:pPr>
      <w:r>
        <w:rPr>
          <w:rFonts w:ascii="Times New Roman" w:cs="Times New Roman" w:eastAsia="Times New Roman" w:hAnsi="Times New Roman"/>
          <w:i/>
          <w:iCs/>
          <w:color w:val="555555"/>
          <w:sz w:val="20"/>
          <w:szCs w:val="20"/>
        </w:rPr>
        <w:t xml:space="preserve">Job: motivate direction dependence for a reader who knows SEM and regression but has never heard of DDA. Budget ~1,200 words.</w:t>
      </w:r>
    </w:p>
    <w:p>
      <w:pPr>
        <w:pStyle w:val="Heading2"/>
        <w:spacing w:after="100" w:before="240"/>
      </w:pPr>
      <w:r>
        <w:rPr>
          <w:rFonts w:ascii="Times New Roman" w:cs="Times New Roman" w:eastAsia="Times New Roman" w:hAnsi="Times New Roman"/>
          <w:b/>
          <w:bCs/>
          <w:i/>
          <w:iCs/>
          <w:sz w:val="24"/>
          <w:szCs w:val="24"/>
        </w:rPr>
        <w:t xml:space="preserve">1.1 The directionality problem in behavioral research</w:t>
      </w:r>
    </w:p>
    <w:p>
      <w:pPr>
        <w:pStyle w:val="ListParagraph"/>
        <w:numPr>
          <w:ilvl w:val="0"/>
          <w:numId w:val="2"/>
        </w:numPr>
        <w:spacing w:after="60" w:line="300"/>
      </w:pPr>
      <w:r>
        <w:rPr>
          <w:rFonts w:ascii="Times New Roman" w:cs="Times New Roman" w:eastAsia="Times New Roman" w:hAnsi="Times New Roman"/>
          <w:sz w:val="22"/>
          <w:szCs w:val="22"/>
        </w:rPr>
        <w:t xml:space="preserve">Open with a substantive example where reverse causation is genuinely plausible and consequential — e.g., self-concept and achievement, sleep and affect, teacher expectancy and performance. Pick one and carry it through the whole paper.</w:t>
      </w:r>
    </w:p>
    <w:p>
      <w:pPr>
        <w:pStyle w:val="ListParagraph"/>
        <w:numPr>
          <w:ilvl w:val="0"/>
          <w:numId w:val="2"/>
        </w:numPr>
        <w:spacing w:after="60" w:line="300"/>
      </w:pPr>
      <w:r>
        <w:rPr>
          <w:rFonts w:ascii="Times New Roman" w:cs="Times New Roman" w:eastAsia="Times New Roman" w:hAnsi="Times New Roman"/>
          <w:sz w:val="22"/>
          <w:szCs w:val="22"/>
        </w:rPr>
        <w:t xml:space="preserve">State the formal problem: for jointly normal (X, Y), the standardized regression slopes of the target and reverse model are identical and the models are distributionally indistinguishable. Give the two-line argument, not just the claim.</w:t>
      </w:r>
    </w:p>
    <w:p>
      <w:pPr>
        <w:pStyle w:val="ListParagraph"/>
        <w:numPr>
          <w:ilvl w:val="0"/>
          <w:numId w:val="2"/>
        </w:numPr>
        <w:spacing w:after="60" w:line="300"/>
      </w:pPr>
      <w:r>
        <w:rPr>
          <w:rFonts w:ascii="Times New Roman" w:cs="Times New Roman" w:eastAsia="Times New Roman" w:hAnsi="Times New Roman"/>
          <w:sz w:val="22"/>
          <w:szCs w:val="22"/>
        </w:rPr>
        <w:t xml:space="preserve">Note what the field currently does instead (temporal precedence, cross-lagged panels, instrumental variables, sensitivity analysis) and where each is unavailable or assumption-heavy.</w:t>
      </w:r>
    </w:p>
    <w:p>
      <w:pPr>
        <w:pStyle w:val="Heading2"/>
        <w:spacing w:after="100" w:before="240"/>
      </w:pPr>
      <w:r>
        <w:rPr>
          <w:rFonts w:ascii="Times New Roman" w:cs="Times New Roman" w:eastAsia="Times New Roman" w:hAnsi="Times New Roman"/>
          <w:b/>
          <w:bCs/>
          <w:i/>
          <w:iCs/>
          <w:sz w:val="24"/>
          <w:szCs w:val="24"/>
        </w:rPr>
        <w:t xml:space="preserve">1.2 What non-normality buys you</w:t>
      </w:r>
    </w:p>
    <w:p>
      <w:pPr>
        <w:pStyle w:val="ListParagraph"/>
        <w:numPr>
          <w:ilvl w:val="0"/>
          <w:numId w:val="2"/>
        </w:numPr>
        <w:spacing w:after="60" w:line="300"/>
      </w:pPr>
      <w:r>
        <w:rPr>
          <w:rFonts w:ascii="Times New Roman" w:cs="Times New Roman" w:eastAsia="Times New Roman" w:hAnsi="Times New Roman"/>
          <w:sz w:val="22"/>
          <w:szCs w:val="22"/>
        </w:rPr>
        <w:t xml:space="preserve">Key intuition to state plainly: under the correct model the residual is independent of the predictor; under the reverse model it is not — but this asymmetry is only detectable when the data depart from normality.</w:t>
      </w:r>
    </w:p>
    <w:p>
      <w:pPr>
        <w:pStyle w:val="ListParagraph"/>
        <w:numPr>
          <w:ilvl w:val="0"/>
          <w:numId w:val="2"/>
        </w:numPr>
        <w:spacing w:after="60" w:line="300"/>
      </w:pPr>
      <w:r>
        <w:rPr>
          <w:rFonts w:ascii="Times New Roman" w:cs="Times New Roman" w:eastAsia="Times New Roman" w:hAnsi="Times New Roman"/>
          <w:sz w:val="22"/>
          <w:szCs w:val="22"/>
        </w:rPr>
        <w:t xml:space="preserve">Connect to the LiNGAM / ICA literature so reviewers see DDA is not isolated — and say explicitly what DDA adds (significance tests and confidence intervals for individual model comparisons, rather than whole-graph recovery).</w:t>
      </w:r>
    </w:p>
    <w:p>
      <w:pPr>
        <w:pStyle w:val="ListParagraph"/>
        <w:numPr>
          <w:ilvl w:val="0"/>
          <w:numId w:val="2"/>
        </w:numPr>
        <w:spacing w:after="60" w:line="300"/>
      </w:pPr>
      <w:r>
        <w:rPr>
          <w:rFonts w:ascii="Times New Roman" w:cs="Times New Roman" w:eastAsia="Times New Roman" w:hAnsi="Times New Roman"/>
          <w:sz w:val="22"/>
          <w:szCs w:val="22"/>
        </w:rPr>
        <w:t xml:space="preserve">Be honest early about the boundary conditions: no unmeasured confounding of the pair, linearity, and sufficient non-normality. Reviewers will look for this; stating it in Section 1 buys credibility.</w:t>
      </w:r>
    </w:p>
    <w:p>
      <w:pPr>
        <w:pStyle w:val="Heading2"/>
        <w:spacing w:after="100" w:before="240"/>
      </w:pPr>
      <w:r>
        <w:rPr>
          <w:rFonts w:ascii="Times New Roman" w:cs="Times New Roman" w:eastAsia="Times New Roman" w:hAnsi="Times New Roman"/>
          <w:b/>
          <w:bCs/>
          <w:i/>
          <w:iCs/>
          <w:sz w:val="24"/>
          <w:szCs w:val="24"/>
        </w:rPr>
        <w:t xml:space="preserve">1.3 Aims and scope of this tutorial</w:t>
      </w:r>
    </w:p>
    <w:p>
      <w:pPr>
        <w:pStyle w:val="ListParagraph"/>
        <w:numPr>
          <w:ilvl w:val="0"/>
          <w:numId w:val="2"/>
        </w:numPr>
        <w:spacing w:after="60" w:line="300"/>
      </w:pPr>
      <w:r>
        <w:rPr>
          <w:rFonts w:ascii="Times New Roman" w:cs="Times New Roman" w:eastAsia="Times New Roman" w:hAnsi="Times New Roman"/>
          <w:sz w:val="22"/>
          <w:szCs w:val="22"/>
        </w:rPr>
        <w:t xml:space="preserve">State the three aims: (a) give an applied account of the DDA test families; (b) demonstrate the dda package end to end; (c) offer decision guidance on which tests to trust when they disagree.</w:t>
      </w:r>
    </w:p>
    <w:p>
      <w:pPr>
        <w:pStyle w:val="ListParagraph"/>
        <w:numPr>
          <w:ilvl w:val="0"/>
          <w:numId w:val="2"/>
        </w:numPr>
        <w:spacing w:after="60" w:line="300"/>
      </w:pPr>
      <w:r>
        <w:rPr>
          <w:rFonts w:ascii="Times New Roman" w:cs="Times New Roman" w:eastAsia="Times New Roman" w:hAnsi="Times New Roman"/>
          <w:sz w:val="22"/>
          <w:szCs w:val="22"/>
        </w:rPr>
        <w:t xml:space="preserve">State what this paper is not: not a simulation study, not a proof paper — point to the primary sources for both.</w:t>
      </w:r>
    </w:p>
    <w:p>
      <w:pPr>
        <w:pStyle w:val="ListParagraph"/>
        <w:numPr>
          <w:ilvl w:val="0"/>
          <w:numId w:val="2"/>
        </w:numPr>
        <w:spacing w:after="60" w:line="300"/>
      </w:pPr>
      <w:r>
        <w:rPr>
          <w:rFonts w:ascii="Times New Roman" w:cs="Times New Roman" w:eastAsia="Times New Roman" w:hAnsi="Times New Roman"/>
          <w:sz w:val="22"/>
          <w:szCs w:val="22"/>
        </w:rPr>
        <w:t xml:space="preserve">One-paragraph roadmap of the remaining sections.</w:t>
      </w:r>
    </w:p>
    <w:p>
      <w:pPr>
        <w:pStyle w:val="Heading1"/>
        <w:spacing w:after="140" w:before="320"/>
      </w:pPr>
      <w:r>
        <w:rPr>
          <w:rFonts w:ascii="Times New Roman" w:cs="Times New Roman" w:eastAsia="Times New Roman" w:hAnsi="Times New Roman"/>
          <w:b/>
          <w:bCs/>
          <w:sz w:val="26"/>
          <w:szCs w:val="26"/>
        </w:rPr>
        <w:t xml:space="preserve">2. Statistical Background</w:t>
      </w:r>
    </w:p>
    <w:p>
      <w:pPr>
        <w:spacing w:after="120" w:line="300"/>
      </w:pPr>
      <w:r>
        <w:rPr>
          <w:rFonts w:ascii="Times New Roman" w:cs="Times New Roman" w:eastAsia="Times New Roman" w:hAnsi="Times New Roman"/>
          <w:i/>
          <w:iCs/>
          <w:color w:val="555555"/>
          <w:sz w:val="20"/>
          <w:szCs w:val="20"/>
        </w:rPr>
        <w:t xml:space="preserve">Job: give exactly enough theory to read the output correctly — no more. Keep proofs out; cite them. Budget ~1,800 words.</w:t>
      </w:r>
    </w:p>
    <w:p>
      <w:pPr>
        <w:pStyle w:val="Heading2"/>
        <w:spacing w:after="100" w:before="240"/>
      </w:pPr>
      <w:r>
        <w:rPr>
          <w:rFonts w:ascii="Times New Roman" w:cs="Times New Roman" w:eastAsia="Times New Roman" w:hAnsi="Times New Roman"/>
          <w:b/>
          <w:bCs/>
          <w:i/>
          <w:iCs/>
          <w:sz w:val="24"/>
          <w:szCs w:val="24"/>
        </w:rPr>
        <w:t xml:space="preserve">2.1 Notation and the competing models</w:t>
      </w:r>
    </w:p>
    <w:p>
      <w:pPr>
        <w:pStyle w:val="ListParagraph"/>
        <w:numPr>
          <w:ilvl w:val="0"/>
          <w:numId w:val="2"/>
        </w:numPr>
        <w:spacing w:after="60" w:line="300"/>
      </w:pPr>
      <w:r>
        <w:rPr>
          <w:rFonts w:ascii="Times New Roman" w:cs="Times New Roman" w:eastAsia="Times New Roman" w:hAnsi="Times New Roman"/>
          <w:sz w:val="22"/>
          <w:szCs w:val="22"/>
        </w:rPr>
        <w:t xml:space="preserve">Define the target model y = b1x + e_yx and the alternative x = b2y + e_xy on standardized, covariate-purified variables. Define the covariate purification step explicitly, since dda operates on residualized x and y.</w:t>
      </w:r>
    </w:p>
    <w:p>
      <w:pPr>
        <w:pStyle w:val="ListParagraph"/>
        <w:numPr>
          <w:ilvl w:val="0"/>
          <w:numId w:val="2"/>
        </w:numPr>
        <w:spacing w:after="60" w:line="300"/>
      </w:pPr>
      <w:r>
        <w:rPr>
          <w:rFonts w:ascii="Times New Roman" w:cs="Times New Roman" w:eastAsia="Times New Roman" w:hAnsi="Times New Roman"/>
          <w:sz w:val="22"/>
          <w:szCs w:val="22"/>
        </w:rPr>
        <w:t xml:space="preserve">State the three assumptions as a numbered display: linearity, no confounding of the focal pair, non-normality of the exogenous variable.</w:t>
      </w:r>
    </w:p>
    <w:p>
      <w:pPr>
        <w:pStyle w:val="Heading2"/>
        <w:spacing w:after="100" w:before="240"/>
      </w:pPr>
      <w:r>
        <w:rPr>
          <w:rFonts w:ascii="Times New Roman" w:cs="Times New Roman" w:eastAsia="Times New Roman" w:hAnsi="Times New Roman"/>
          <w:b/>
          <w:bCs/>
          <w:i/>
          <w:iCs/>
          <w:sz w:val="24"/>
          <w:szCs w:val="24"/>
        </w:rPr>
        <w:t xml:space="preserve">2.2 Variable-distribution tests (dda.vardist)</w:t>
      </w:r>
    </w:p>
    <w:p>
      <w:pPr>
        <w:pStyle w:val="ListParagraph"/>
        <w:numPr>
          <w:ilvl w:val="0"/>
          <w:numId w:val="2"/>
        </w:numPr>
        <w:spacing w:after="60" w:line="300"/>
      </w:pPr>
      <w:r>
        <w:rPr>
          <w:rFonts w:ascii="Times New Roman" w:cs="Times New Roman" w:eastAsia="Times New Roman" w:hAnsi="Times New Roman"/>
          <w:sz w:val="22"/>
          <w:szCs w:val="22"/>
        </w:rPr>
        <w:t xml:space="preserve">Skewness and excess kurtosis differences between the standardized variables; the direction implied by the sign of each difference.</w:t>
      </w:r>
    </w:p>
    <w:p>
      <w:pPr>
        <w:pStyle w:val="ListParagraph"/>
        <w:numPr>
          <w:ilvl w:val="0"/>
          <w:numId w:val="2"/>
        </w:numPr>
        <w:spacing w:after="60" w:line="300"/>
      </w:pPr>
      <w:r>
        <w:rPr>
          <w:rFonts w:ascii="Times New Roman" w:cs="Times New Roman" w:eastAsia="Times New Roman" w:hAnsi="Times New Roman"/>
          <w:sz w:val="22"/>
          <w:szCs w:val="22"/>
        </w:rPr>
        <w:t xml:space="preserve">Co-skewness and co-kurtosis; higher-moment correlation statistics (rhs, rcc, rtanh) and what each is sensitive to.</w:t>
      </w:r>
    </w:p>
    <w:p>
      <w:pPr>
        <w:pStyle w:val="ListParagraph"/>
        <w:numPr>
          <w:ilvl w:val="0"/>
          <w:numId w:val="2"/>
        </w:numPr>
        <w:spacing w:after="60" w:line="300"/>
      </w:pPr>
      <w:r>
        <w:rPr>
          <w:rFonts w:ascii="Times New Roman" w:cs="Times New Roman" w:eastAsia="Times New Roman" w:hAnsi="Times New Roman"/>
          <w:sz w:val="22"/>
          <w:szCs w:val="22"/>
        </w:rPr>
        <w:t xml:space="preserve">Bootstrap CIs for the differences — explain percentile vs BCa and when BCa fails (small B, unstable acceleration constant).</w:t>
      </w:r>
    </w:p>
    <w:p>
      <w:pPr>
        <w:pStyle w:val="Heading2"/>
        <w:spacing w:after="100" w:before="240"/>
      </w:pPr>
      <w:r>
        <w:rPr>
          <w:rFonts w:ascii="Times New Roman" w:cs="Times New Roman" w:eastAsia="Times New Roman" w:hAnsi="Times New Roman"/>
          <w:b/>
          <w:bCs/>
          <w:i/>
          <w:iCs/>
          <w:sz w:val="24"/>
          <w:szCs w:val="24"/>
        </w:rPr>
        <w:t xml:space="preserve">2.3 Residual-distribution tests (dda.resdist)</w:t>
      </w:r>
    </w:p>
    <w:p>
      <w:pPr>
        <w:pStyle w:val="ListParagraph"/>
        <w:numPr>
          <w:ilvl w:val="0"/>
          <w:numId w:val="2"/>
        </w:numPr>
        <w:spacing w:after="60" w:line="300"/>
      </w:pPr>
      <w:r>
        <w:rPr>
          <w:rFonts w:ascii="Times New Roman" w:cs="Times New Roman" w:eastAsia="Times New Roman" w:hAnsi="Times New Roman"/>
          <w:sz w:val="22"/>
          <w:szCs w:val="22"/>
        </w:rPr>
        <w:t xml:space="preserve">The logic: the residual of the correctly specified model should be closer to the non-normal error distribution; the reverse model’s residual is driven toward normality by the CLT-like mixing.</w:t>
      </w:r>
    </w:p>
    <w:p>
      <w:pPr>
        <w:pStyle w:val="ListParagraph"/>
        <w:numPr>
          <w:ilvl w:val="0"/>
          <w:numId w:val="2"/>
        </w:numPr>
        <w:spacing w:after="60" w:line="300"/>
      </w:pPr>
      <w:r>
        <w:rPr>
          <w:rFonts w:ascii="Times New Roman" w:cs="Times New Roman" w:eastAsia="Times New Roman" w:hAnsi="Times New Roman"/>
          <w:sz w:val="22"/>
          <w:szCs w:val="22"/>
        </w:rPr>
        <w:t xml:space="preserve">D’Agostino skewness and Anscombe–Glynn kurtosis tests on each model’s residuals; bootstrap CIs on the differences.</w:t>
      </w:r>
    </w:p>
    <w:p>
      <w:pPr>
        <w:pStyle w:val="ListParagraph"/>
        <w:numPr>
          <w:ilvl w:val="0"/>
          <w:numId w:val="2"/>
        </w:numPr>
        <w:spacing w:after="60" w:line="300"/>
      </w:pPr>
      <w:r>
        <w:rPr>
          <w:rFonts w:ascii="Times New Roman" w:cs="Times New Roman" w:eastAsia="Times New Roman" w:hAnsi="Times New Roman"/>
          <w:sz w:val="22"/>
          <w:szCs w:val="22"/>
        </w:rPr>
        <w:t xml:space="preserve">The probability integral transformation option (prob.trans) — what problem it addresses and when to switch it on.</w:t>
      </w:r>
    </w:p>
    <w:p>
      <w:pPr>
        <w:pStyle w:val="Heading2"/>
        <w:spacing w:after="100" w:before="240"/>
      </w:pPr>
      <w:r>
        <w:rPr>
          <w:rFonts w:ascii="Times New Roman" w:cs="Times New Roman" w:eastAsia="Times New Roman" w:hAnsi="Times New Roman"/>
          <w:b/>
          <w:bCs/>
          <w:i/>
          <w:iCs/>
          <w:sz w:val="24"/>
          <w:szCs w:val="24"/>
        </w:rPr>
        <w:t xml:space="preserve">2.4 Independence tests (dda.indep)</w:t>
      </w:r>
    </w:p>
    <w:p>
      <w:pPr>
        <w:pStyle w:val="ListParagraph"/>
        <w:numPr>
          <w:ilvl w:val="0"/>
          <w:numId w:val="2"/>
        </w:numPr>
        <w:spacing w:after="60" w:line="300"/>
      </w:pPr>
      <w:r>
        <w:rPr>
          <w:rFonts w:ascii="Times New Roman" w:cs="Times New Roman" w:eastAsia="Times New Roman" w:hAnsi="Times New Roman"/>
          <w:sz w:val="22"/>
          <w:szCs w:val="22"/>
        </w:rPr>
        <w:t xml:space="preserve">Predictor–residual independence as the sharpest of the three criteria. Distinguish independence from zero correlation — this is the conceptual crux and deserves a figure.</w:t>
      </w:r>
    </w:p>
    <w:p>
      <w:pPr>
        <w:pStyle w:val="ListParagraph"/>
        <w:numPr>
          <w:ilvl w:val="0"/>
          <w:numId w:val="2"/>
        </w:numPr>
        <w:spacing w:after="60" w:line="300"/>
      </w:pPr>
      <w:r>
        <w:rPr>
          <w:rFonts w:ascii="Times New Roman" w:cs="Times New Roman" w:eastAsia="Times New Roman" w:hAnsi="Times New Roman"/>
          <w:sz w:val="22"/>
          <w:szCs w:val="22"/>
        </w:rPr>
        <w:t xml:space="preserve">HSIC via dHSIC::dhsic.test: what the statistic measures, and the four inference options (gamma approximation, eigenvalue, permutation, bootstrap) with a sentence on the accuracy/cost trade-off of each.</w:t>
      </w:r>
    </w:p>
    <w:p>
      <w:pPr>
        <w:pStyle w:val="ListParagraph"/>
        <w:numPr>
          <w:ilvl w:val="0"/>
          <w:numId w:val="2"/>
        </w:numPr>
        <w:spacing w:after="60" w:line="300"/>
      </w:pPr>
      <w:r>
        <w:rPr>
          <w:rFonts w:ascii="Times New Roman" w:cs="Times New Roman" w:eastAsia="Times New Roman" w:hAnsi="Times New Roman"/>
          <w:sz w:val="22"/>
          <w:szCs w:val="22"/>
        </w:rPr>
        <w:t xml:space="preserve">Distance correlation (energy / dccpp) as a second omnibus criterion; non-linear correlation tests via nlfun; Breusch–Pagan and robust Breusch–Pagan as heteroscedasticity-based evidence.</w:t>
      </w:r>
    </w:p>
    <w:p>
      <w:pPr>
        <w:pStyle w:val="ListParagraph"/>
        <w:numPr>
          <w:ilvl w:val="0"/>
          <w:numId w:val="2"/>
        </w:numPr>
        <w:spacing w:after="60" w:line="300"/>
      </w:pPr>
      <w:r>
        <w:rPr>
          <w:rFonts w:ascii="Times New Roman" w:cs="Times New Roman" w:eastAsia="Times New Roman" w:hAnsi="Times New Roman"/>
          <w:sz w:val="22"/>
          <w:szCs w:val="22"/>
        </w:rPr>
        <w:t xml:space="preserve">Difference statistics (HSIC, dCor, MI) with bootstrap CIs — explain the decision rule: a CI excluding zero favors one direction; a CI covering zero is genuinely undecided, not weak evidence for the target.</w:t>
      </w:r>
    </w:p>
    <w:p>
      <w:pPr>
        <w:pStyle w:val="Heading2"/>
        <w:spacing w:after="100" w:before="240"/>
      </w:pPr>
      <w:r>
        <w:rPr>
          <w:rFonts w:ascii="Times New Roman" w:cs="Times New Roman" w:eastAsia="Times New Roman" w:hAnsi="Times New Roman"/>
          <w:b/>
          <w:bCs/>
          <w:i/>
          <w:iCs/>
          <w:sz w:val="24"/>
          <w:szCs w:val="24"/>
        </w:rPr>
        <w:t xml:space="preserve">2.5 Conditional DDA (cdda.indep, cdda.vardist)</w:t>
      </w:r>
    </w:p>
    <w:p>
      <w:pPr>
        <w:pStyle w:val="ListParagraph"/>
        <w:numPr>
          <w:ilvl w:val="0"/>
          <w:numId w:val="2"/>
        </w:numPr>
        <w:spacing w:after="60" w:line="300"/>
      </w:pPr>
      <w:r>
        <w:rPr>
          <w:rFonts w:ascii="Times New Roman" w:cs="Times New Roman" w:eastAsia="Times New Roman" w:hAnsi="Times New Roman"/>
          <w:sz w:val="22"/>
          <w:szCs w:val="22"/>
        </w:rPr>
        <w:t xml:space="preserve">The moderation case: direction may reverse across levels of a moderator. Give the substantive reading of that claim, since it is unfamiliar.</w:t>
      </w:r>
    </w:p>
    <w:p>
      <w:pPr>
        <w:pStyle w:val="ListParagraph"/>
        <w:numPr>
          <w:ilvl w:val="0"/>
          <w:numId w:val="2"/>
        </w:numPr>
        <w:spacing w:after="60" w:line="300"/>
      </w:pPr>
      <w:r>
        <w:rPr>
          <w:rFonts w:ascii="Times New Roman" w:cs="Times New Roman" w:eastAsia="Times New Roman" w:hAnsi="Times New Roman"/>
          <w:sz w:val="22"/>
          <w:szCs w:val="22"/>
        </w:rPr>
        <w:t xml:space="preserve">Post-hoc probing options — pick-a-point, mean ± 1 SD, quartiles, and Johnson–Neyman — and what modval does for each.</w:t>
      </w:r>
    </w:p>
    <w:p>
      <w:pPr>
        <w:pStyle w:val="Heading2"/>
        <w:spacing w:after="100" w:before="240"/>
      </w:pPr>
      <w:r>
        <w:rPr>
          <w:rFonts w:ascii="Times New Roman" w:cs="Times New Roman" w:eastAsia="Times New Roman" w:hAnsi="Times New Roman"/>
          <w:b/>
          <w:bCs/>
          <w:i/>
          <w:iCs/>
          <w:sz w:val="24"/>
          <w:szCs w:val="24"/>
        </w:rPr>
        <w:t xml:space="preserve">2.6 Robust estimation and bagging</w:t>
      </w:r>
    </w:p>
    <w:p>
      <w:pPr>
        <w:pStyle w:val="ListParagraph"/>
        <w:numPr>
          <w:ilvl w:val="0"/>
          <w:numId w:val="2"/>
        </w:numPr>
        <w:spacing w:after="60" w:line="300"/>
      </w:pPr>
      <w:r>
        <w:rPr>
          <w:rFonts w:ascii="Times New Roman" w:cs="Times New Roman" w:eastAsia="Times New Roman" w:hAnsi="Times New Roman"/>
          <w:sz w:val="22"/>
          <w:szCs w:val="22"/>
        </w:rPr>
        <w:t xml:space="preserve">robust = TRUE: Siegel (1982) repeated-median regression and the companion robust Breusch–Pagan test; when outliers or leverage points make OLS-based DDA untrustworthy.</w:t>
      </w:r>
    </w:p>
    <w:p>
      <w:pPr>
        <w:pStyle w:val="ListParagraph"/>
        <w:numPr>
          <w:ilvl w:val="0"/>
          <w:numId w:val="2"/>
        </w:numPr>
        <w:spacing w:after="60" w:line="300"/>
      </w:pPr>
      <w:r>
        <w:rPr>
          <w:rFonts w:ascii="Times New Roman" w:cs="Times New Roman" w:eastAsia="Times New Roman" w:hAnsi="Times New Roman"/>
          <w:sz w:val="22"/>
          <w:szCs w:val="22"/>
        </w:rPr>
        <w:t xml:space="preserve">dda.bagging(): resampling the whole DDA decision, aggregating statistics across resamples, and combining p-values with the harmonic mean (Wilson, 2019). Frame it as a stability diagnostic for the decision, not a new test.</w:t>
      </w:r>
    </w:p>
    <w:p>
      <w:pPr>
        <w:pStyle w:val="ListParagraph"/>
        <w:numPr>
          <w:ilvl w:val="0"/>
          <w:numId w:val="2"/>
        </w:numPr>
        <w:spacing w:after="60" w:line="300"/>
      </w:pPr>
      <w:r>
        <w:rPr>
          <w:rFonts w:ascii="Times New Roman" w:cs="Times New Roman" w:eastAsia="Times New Roman" w:hAnsi="Times New Roman"/>
          <w:sz w:val="22"/>
          <w:szCs w:val="22"/>
        </w:rPr>
        <w:t xml:space="preserve">Explain the aggregation choices (mean, median, trimmed, winsorized, midhinge, tukey) and why a trimmed or winsorized summary is usually the safer default.</w:t>
      </w:r>
    </w:p>
    <w:p>
      <w:pPr>
        <w:pStyle w:val="Heading1"/>
        <w:spacing w:after="140" w:before="320"/>
      </w:pPr>
      <w:r>
        <w:rPr>
          <w:rFonts w:ascii="Times New Roman" w:cs="Times New Roman" w:eastAsia="Times New Roman" w:hAnsi="Times New Roman"/>
          <w:b/>
          <w:bCs/>
          <w:sz w:val="26"/>
          <w:szCs w:val="26"/>
        </w:rPr>
        <w:t xml:space="preserve">3. The dda Package</w:t>
      </w:r>
    </w:p>
    <w:p>
      <w:pPr>
        <w:spacing w:after="120" w:line="300"/>
      </w:pPr>
      <w:r>
        <w:rPr>
          <w:rFonts w:ascii="Times New Roman" w:cs="Times New Roman" w:eastAsia="Times New Roman" w:hAnsi="Times New Roman"/>
          <w:i/>
          <w:iCs/>
          <w:color w:val="555555"/>
          <w:sz w:val="20"/>
          <w:szCs w:val="20"/>
        </w:rPr>
        <w:t xml:space="preserve">Job: orient the reader in the API before any analysis appears. Budget ~900 words. A single table mapping question → function → key arguments → output does most of the work here.</w:t>
      </w:r>
    </w:p>
    <w:p>
      <w:pPr>
        <w:pStyle w:val="Heading2"/>
        <w:spacing w:after="100" w:before="240"/>
      </w:pPr>
      <w:r>
        <w:rPr>
          <w:rFonts w:ascii="Times New Roman" w:cs="Times New Roman" w:eastAsia="Times New Roman" w:hAnsi="Times New Roman"/>
          <w:b/>
          <w:bCs/>
          <w:i/>
          <w:iCs/>
          <w:sz w:val="24"/>
          <w:szCs w:val="24"/>
        </w:rPr>
        <w:t xml:space="preserve">3.1 Installation and design</w:t>
      </w:r>
    </w:p>
    <w:p>
      <w:pPr>
        <w:shd w:fill="F2F2F2" w:val="clear"/>
        <w:spacing w:after="40" w:line="240"/>
        <w:ind w:left="360"/>
      </w:pPr>
      <w:r>
        <w:rPr>
          <w:rFonts w:ascii="Courier New" w:cs="Courier New" w:eastAsia="Courier New" w:hAnsi="Courier New"/>
          <w:sz w:val="19"/>
          <w:szCs w:val="19"/>
        </w:rPr>
        <w:t xml:space="preserve">install.packages("dda")   # CRAN</w:t>
      </w:r>
    </w:p>
    <w:p>
      <w:pPr>
        <w:shd w:fill="F2F2F2" w:val="clear"/>
        <w:spacing w:after="40" w:line="240"/>
        <w:ind w:left="360"/>
      </w:pPr>
      <w:r>
        <w:rPr>
          <w:rFonts w:ascii="Courier New" w:cs="Courier New" w:eastAsia="Courier New" w:hAnsi="Courier New"/>
          <w:sz w:val="19"/>
          <w:szCs w:val="19"/>
        </w:rPr>
        <w:t xml:space="preserve"># development version</w:t>
      </w:r>
    </w:p>
    <w:p>
      <w:pPr>
        <w:shd w:fill="F2F2F2" w:val="clear"/>
        <w:spacing w:after="40" w:line="240"/>
        <w:ind w:left="360"/>
      </w:pPr>
      <w:r>
        <w:rPr>
          <w:rFonts w:ascii="Courier New" w:cs="Courier New" w:eastAsia="Courier New" w:hAnsi="Courier New"/>
          <w:sz w:val="19"/>
          <w:szCs w:val="19"/>
        </w:rPr>
        <w:t xml:space="preserve">remotes::install_github("wwiedermann/dda")</w:t>
      </w:r>
    </w:p>
    <w:p>
      <w:pPr>
        <w:shd w:fill="F2F2F2" w:val="clear"/>
        <w:spacing w:after="40" w:line="240"/>
        <w:ind w:left="360"/>
      </w:pPr>
      <w:r>
        <w:rPr>
          <w:rFonts w:ascii="Courier New" w:cs="Courier New" w:eastAsia="Courier New" w:hAnsi="Courier New"/>
          <w:sz w:val="19"/>
          <w:szCs w:val="19"/>
        </w:rPr>
        <w:t xml:space="preserve">library(dda)</w:t>
      </w:r>
    </w:p>
    <w:p>
      <w:pPr>
        <w:pStyle w:val="ListParagraph"/>
        <w:numPr>
          <w:ilvl w:val="0"/>
          <w:numId w:val="2"/>
        </w:numPr>
        <w:spacing w:after="60" w:line="300"/>
      </w:pPr>
      <w:r>
        <w:rPr>
          <w:rFonts w:ascii="Times New Roman" w:cs="Times New Roman" w:eastAsia="Times New Roman" w:hAnsi="Times New Roman"/>
          <w:sz w:val="22"/>
          <w:szCs w:val="22"/>
        </w:rPr>
        <w:t xml:space="preserve">Note the design: every entry point takes a formula or a fitted lm object plus pred =, so DDA slots into an existing modeling workflow rather than replacing it.</w:t>
      </w:r>
    </w:p>
    <w:p>
      <w:pPr>
        <w:pStyle w:val="ListParagraph"/>
        <w:numPr>
          <w:ilvl w:val="0"/>
          <w:numId w:val="2"/>
        </w:numPr>
        <w:spacing w:after="60" w:line="300"/>
      </w:pPr>
      <w:r>
        <w:rPr>
          <w:rFonts w:ascii="Times New Roman" w:cs="Times New Roman" w:eastAsia="Times New Roman" w:hAnsi="Times New Roman"/>
          <w:sz w:val="22"/>
          <w:szCs w:val="22"/>
        </w:rPr>
        <w:t xml:space="preserve">Note that the package is pure R with no compilation step, and name the dependencies that do the heavy lifting (dHSIC, energy/dccpp, boot, lmtest, RobustLinearReg).</w:t>
      </w:r>
    </w:p>
    <w:p>
      <w:pPr>
        <w:pStyle w:val="Heading2"/>
        <w:spacing w:after="100" w:before="240"/>
      </w:pPr>
      <w:r>
        <w:rPr>
          <w:rFonts w:ascii="Times New Roman" w:cs="Times New Roman" w:eastAsia="Times New Roman" w:hAnsi="Times New Roman"/>
          <w:b/>
          <w:bCs/>
          <w:i/>
          <w:iCs/>
          <w:sz w:val="24"/>
          <w:szCs w:val="24"/>
        </w:rPr>
        <w:t xml:space="preserve">3.2 Function overview</w:t>
      </w:r>
    </w:p>
    <w:p>
      <w:pPr>
        <w:pStyle w:val="ListParagraph"/>
        <w:numPr>
          <w:ilvl w:val="0"/>
          <w:numId w:val="2"/>
        </w:numPr>
        <w:spacing w:after="60" w:line="300"/>
      </w:pPr>
      <w:r>
        <w:rPr>
          <w:rFonts w:ascii="Times New Roman" w:cs="Times New Roman" w:eastAsia="Times New Roman" w:hAnsi="Times New Roman"/>
          <w:sz w:val="22"/>
          <w:szCs w:val="22"/>
        </w:rPr>
        <w:t xml:space="preserve">TABLE 1 — build it with these columns: Research question | Function | Central arguments | What print()/summary()/plot() return.</w:t>
      </w:r>
    </w:p>
    <w:p>
      <w:pPr>
        <w:pStyle w:val="ListParagraph"/>
        <w:numPr>
          <w:ilvl w:val="0"/>
          <w:numId w:val="2"/>
        </w:numPr>
        <w:spacing w:after="60" w:line="300"/>
      </w:pPr>
      <w:r>
        <w:rPr>
          <w:rFonts w:ascii="Times New Roman" w:cs="Times New Roman" w:eastAsia="Times New Roman" w:hAnsi="Times New Roman"/>
          <w:sz w:val="22"/>
          <w:szCs w:val="22"/>
        </w:rPr>
        <w:t xml:space="preserve">Rows: dda.vardist, dda.resdist, dda.indep, cdda.vardist, cdda.indep, dda.bagging.</w:t>
      </w:r>
    </w:p>
    <w:p>
      <w:pPr>
        <w:pStyle w:val="Heading2"/>
        <w:spacing w:after="100" w:before="240"/>
      </w:pPr>
      <w:r>
        <w:rPr>
          <w:rFonts w:ascii="Times New Roman" w:cs="Times New Roman" w:eastAsia="Times New Roman" w:hAnsi="Times New Roman"/>
          <w:b/>
          <w:bCs/>
          <w:i/>
          <w:iCs/>
          <w:sz w:val="24"/>
          <w:szCs w:val="24"/>
        </w:rPr>
        <w:t xml:space="preserve">3.3 Computational cost and choosing B</w:t>
      </w:r>
    </w:p>
    <w:p>
      <w:pPr>
        <w:pStyle w:val="ListParagraph"/>
        <w:numPr>
          <w:ilvl w:val="0"/>
          <w:numId w:val="2"/>
        </w:numPr>
        <w:spacing w:after="60" w:line="300"/>
      </w:pPr>
      <w:r>
        <w:rPr>
          <w:rFonts w:ascii="Times New Roman" w:cs="Times New Roman" w:eastAsia="Times New Roman" w:hAnsi="Times New Roman"/>
          <w:sz w:val="22"/>
          <w:szCs w:val="22"/>
        </w:rPr>
        <w:t xml:space="preserve">Be concrete: state which arguments drive run time (B, diff = TRUE, hsic.method, iter in bagging) and give rough timings on a stated machine.</w:t>
      </w:r>
    </w:p>
    <w:p>
      <w:pPr>
        <w:pStyle w:val="ListParagraph"/>
        <w:numPr>
          <w:ilvl w:val="0"/>
          <w:numId w:val="2"/>
        </w:numPr>
        <w:spacing w:after="60" w:line="300"/>
      </w:pPr>
      <w:r>
        <w:rPr>
          <w:rFonts w:ascii="Times New Roman" w:cs="Times New Roman" w:eastAsia="Times New Roman" w:hAnsi="Times New Roman"/>
          <w:sz w:val="22"/>
          <w:szCs w:val="22"/>
        </w:rPr>
        <w:t xml:space="preserve">Give a recommendation the reader can act on — e.g., explore with small B, report with B ≥ 500 — and mention parallelize / cores.</w:t>
      </w:r>
    </w:p>
    <w:p>
      <w:pPr>
        <w:pStyle w:val="Heading1"/>
        <w:spacing w:after="140" w:before="320"/>
      </w:pPr>
      <w:r>
        <w:rPr>
          <w:rFonts w:ascii="Times New Roman" w:cs="Times New Roman" w:eastAsia="Times New Roman" w:hAnsi="Times New Roman"/>
          <w:b/>
          <w:bCs/>
          <w:sz w:val="26"/>
          <w:szCs w:val="26"/>
        </w:rPr>
        <w:t xml:space="preserve">4. Worked Example</w:t>
      </w:r>
    </w:p>
    <w:p>
      <w:pPr>
        <w:spacing w:after="120" w:line="300"/>
      </w:pPr>
      <w:r>
        <w:rPr>
          <w:rFonts w:ascii="Times New Roman" w:cs="Times New Roman" w:eastAsia="Times New Roman" w:hAnsi="Times New Roman"/>
          <w:i/>
          <w:iCs/>
          <w:color w:val="555555"/>
          <w:sz w:val="20"/>
          <w:szCs w:val="20"/>
        </w:rPr>
        <w:t xml:space="preserve">Job: this is the heart of the paper and what readers will cite. Every code block must be runnable as printed, and every output block must be real output. Budget ~2,500 words.</w:t>
      </w:r>
    </w:p>
    <w:p>
      <w:pPr>
        <w:pStyle w:val="Heading2"/>
        <w:spacing w:after="100" w:before="240"/>
      </w:pPr>
      <w:r>
        <w:rPr>
          <w:rFonts w:ascii="Times New Roman" w:cs="Times New Roman" w:eastAsia="Times New Roman" w:hAnsi="Times New Roman"/>
          <w:b/>
          <w:bCs/>
          <w:i/>
          <w:iCs/>
          <w:sz w:val="24"/>
          <w:szCs w:val="24"/>
        </w:rPr>
        <w:t xml:space="preserve">4.1 Data and substantive question</w:t>
      </w:r>
    </w:p>
    <w:p>
      <w:pPr>
        <w:pStyle w:val="ListParagraph"/>
        <w:numPr>
          <w:ilvl w:val="0"/>
          <w:numId w:val="2"/>
        </w:numPr>
        <w:spacing w:after="60" w:line="300"/>
      </w:pPr>
      <w:r>
        <w:rPr>
          <w:rFonts w:ascii="Times New Roman" w:cs="Times New Roman" w:eastAsia="Times New Roman" w:hAnsi="Times New Roman"/>
          <w:sz w:val="22"/>
          <w:szCs w:val="22"/>
        </w:rPr>
        <w:t xml:space="preserve">Use a real, openly available behavioral dataset so readers can reproduce it exactly — name the source and the DOI. Fall back to simulated data only if no suitable open dataset exists, and say so.</w:t>
      </w:r>
    </w:p>
    <w:p>
      <w:pPr>
        <w:pStyle w:val="ListParagraph"/>
        <w:numPr>
          <w:ilvl w:val="0"/>
          <w:numId w:val="2"/>
        </w:numPr>
        <w:spacing w:after="60" w:line="300"/>
      </w:pPr>
      <w:r>
        <w:rPr>
          <w:rFonts w:ascii="Times New Roman" w:cs="Times New Roman" w:eastAsia="Times New Roman" w:hAnsi="Times New Roman"/>
          <w:sz w:val="22"/>
          <w:szCs w:val="22"/>
        </w:rPr>
        <w:t xml:space="preserve">State the competing hypotheses in substantive terms before any code appears.</w:t>
      </w:r>
    </w:p>
    <w:p>
      <w:pPr>
        <w:pStyle w:val="ListParagraph"/>
        <w:numPr>
          <w:ilvl w:val="0"/>
          <w:numId w:val="2"/>
        </w:numPr>
        <w:spacing w:after="60" w:line="300"/>
      </w:pPr>
      <w:r>
        <w:rPr>
          <w:rFonts w:ascii="Times New Roman" w:cs="Times New Roman" w:eastAsia="Times New Roman" w:hAnsi="Times New Roman"/>
          <w:sz w:val="22"/>
          <w:szCs w:val="22"/>
        </w:rPr>
        <w:t xml:space="preserve">Report descriptives including skewness and kurtosis, and check the non-normality precondition explicitly. If the data are near-normal, say what that means for the analysis — do not proceed silently.</w:t>
      </w:r>
    </w:p>
    <w:p>
      <w:pPr>
        <w:pStyle w:val="Heading2"/>
        <w:spacing w:after="100" w:before="240"/>
      </w:pPr>
      <w:r>
        <w:rPr>
          <w:rFonts w:ascii="Times New Roman" w:cs="Times New Roman" w:eastAsia="Times New Roman" w:hAnsi="Times New Roman"/>
          <w:b/>
          <w:bCs/>
          <w:i/>
          <w:iCs/>
          <w:sz w:val="24"/>
          <w:szCs w:val="24"/>
        </w:rPr>
        <w:t xml:space="preserve">4.2 Fitting the target model</w:t>
      </w:r>
    </w:p>
    <w:p>
      <w:pPr>
        <w:shd w:fill="F2F2F2" w:val="clear"/>
        <w:spacing w:after="40" w:line="240"/>
        <w:ind w:left="360"/>
      </w:pPr>
      <w:r>
        <w:rPr>
          <w:rFonts w:ascii="Courier New" w:cs="Courier New" w:eastAsia="Courier New" w:hAnsi="Courier New"/>
          <w:sz w:val="19"/>
          <w:szCs w:val="19"/>
        </w:rPr>
        <w:t xml:space="preserve">m &lt;- lm(y ~ x + covariate1 + covariate2, data = dat)</w:t>
      </w:r>
    </w:p>
    <w:p>
      <w:pPr>
        <w:shd w:fill="F2F2F2" w:val="clear"/>
        <w:spacing w:after="40" w:line="240"/>
        <w:ind w:left="360"/>
      </w:pPr>
      <w:r>
        <w:rPr>
          <w:rFonts w:ascii="Courier New" w:cs="Courier New" w:eastAsia="Courier New" w:hAnsi="Courier New"/>
          <w:sz w:val="19"/>
          <w:szCs w:val="19"/>
        </w:rPr>
        <w:t xml:space="preserve">summary(m)</w:t>
      </w:r>
    </w:p>
    <w:p>
      <w:pPr>
        <w:pStyle w:val="ListParagraph"/>
        <w:numPr>
          <w:ilvl w:val="0"/>
          <w:numId w:val="2"/>
        </w:numPr>
        <w:spacing w:after="60" w:line="300"/>
      </w:pPr>
      <w:r>
        <w:rPr>
          <w:rFonts w:ascii="Times New Roman" w:cs="Times New Roman" w:eastAsia="Times New Roman" w:hAnsi="Times New Roman"/>
          <w:sz w:val="22"/>
          <w:szCs w:val="22"/>
        </w:rPr>
        <w:t xml:space="preserve">Show that the target and reverse regressions are near-indistinguishable on conventional criteria — this is the motivating moment of the example.</w:t>
      </w:r>
    </w:p>
    <w:p>
      <w:pPr>
        <w:pStyle w:val="Heading2"/>
        <w:spacing w:after="100" w:before="240"/>
      </w:pPr>
      <w:r>
        <w:rPr>
          <w:rFonts w:ascii="Times New Roman" w:cs="Times New Roman" w:eastAsia="Times New Roman" w:hAnsi="Times New Roman"/>
          <w:b/>
          <w:bCs/>
          <w:i/>
          <w:iCs/>
          <w:sz w:val="24"/>
          <w:szCs w:val="24"/>
        </w:rPr>
        <w:t xml:space="preserve">4.3 Variable distributions</w:t>
      </w:r>
    </w:p>
    <w:p>
      <w:pPr>
        <w:shd w:fill="F2F2F2" w:val="clear"/>
        <w:spacing w:after="40" w:line="240"/>
        <w:ind w:left="360"/>
      </w:pPr>
      <w:r>
        <w:rPr>
          <w:rFonts w:ascii="Courier New" w:cs="Courier New" w:eastAsia="Courier New" w:hAnsi="Courier New"/>
          <w:sz w:val="19"/>
          <w:szCs w:val="19"/>
        </w:rPr>
        <w:t xml:space="preserve">vd &lt;- dda.vardist(m, pred = "x", data = dat, B = 500)</w:t>
      </w:r>
    </w:p>
    <w:p>
      <w:pPr>
        <w:shd w:fill="F2F2F2" w:val="clear"/>
        <w:spacing w:after="40" w:line="240"/>
        <w:ind w:left="360"/>
      </w:pPr>
      <w:r>
        <w:rPr>
          <w:rFonts w:ascii="Courier New" w:cs="Courier New" w:eastAsia="Courier New" w:hAnsi="Courier New"/>
          <w:sz w:val="19"/>
          <w:szCs w:val="19"/>
        </w:rPr>
        <w:t xml:space="preserve">print(vd)</w:t>
      </w:r>
    </w:p>
    <w:p>
      <w:pPr>
        <w:pStyle w:val="ListParagraph"/>
        <w:numPr>
          <w:ilvl w:val="0"/>
          <w:numId w:val="2"/>
        </w:numPr>
        <w:spacing w:after="60" w:line="300"/>
      </w:pPr>
      <w:r>
        <w:rPr>
          <w:rFonts w:ascii="Times New Roman" w:cs="Times New Roman" w:eastAsia="Times New Roman" w:hAnsi="Times New Roman"/>
          <w:sz w:val="22"/>
          <w:szCs w:val="22"/>
        </w:rPr>
        <w:t xml:space="preserve">Annotate the output line by line the first time it appears: what each column is, and which sign favors which direction.</w:t>
      </w:r>
    </w:p>
    <w:p>
      <w:pPr>
        <w:pStyle w:val="Heading2"/>
        <w:spacing w:after="100" w:before="240"/>
      </w:pPr>
      <w:r>
        <w:rPr>
          <w:rFonts w:ascii="Times New Roman" w:cs="Times New Roman" w:eastAsia="Times New Roman" w:hAnsi="Times New Roman"/>
          <w:b/>
          <w:bCs/>
          <w:i/>
          <w:iCs/>
          <w:sz w:val="24"/>
          <w:szCs w:val="24"/>
        </w:rPr>
        <w:t xml:space="preserve">4.4 Residual distributions</w:t>
      </w:r>
    </w:p>
    <w:p>
      <w:pPr>
        <w:shd w:fill="F2F2F2" w:val="clear"/>
        <w:spacing w:after="40" w:line="240"/>
        <w:ind w:left="360"/>
      </w:pPr>
      <w:r>
        <w:rPr>
          <w:rFonts w:ascii="Courier New" w:cs="Courier New" w:eastAsia="Courier New" w:hAnsi="Courier New"/>
          <w:sz w:val="19"/>
          <w:szCs w:val="19"/>
        </w:rPr>
        <w:t xml:space="preserve">rd &lt;- dda.resdist(m, pred = "x", data = dat, B = 500, prob.trans = TRUE)</w:t>
      </w:r>
    </w:p>
    <w:p>
      <w:pPr>
        <w:shd w:fill="F2F2F2" w:val="clear"/>
        <w:spacing w:after="40" w:line="240"/>
        <w:ind w:left="360"/>
      </w:pPr>
      <w:r>
        <w:rPr>
          <w:rFonts w:ascii="Courier New" w:cs="Courier New" w:eastAsia="Courier New" w:hAnsi="Courier New"/>
          <w:sz w:val="19"/>
          <w:szCs w:val="19"/>
        </w:rPr>
        <w:t xml:space="preserve">print(rd)</w:t>
      </w:r>
    </w:p>
    <w:p>
      <w:pPr>
        <w:pStyle w:val="Heading2"/>
        <w:spacing w:after="100" w:before="240"/>
      </w:pPr>
      <w:r>
        <w:rPr>
          <w:rFonts w:ascii="Times New Roman" w:cs="Times New Roman" w:eastAsia="Times New Roman" w:hAnsi="Times New Roman"/>
          <w:b/>
          <w:bCs/>
          <w:i/>
          <w:iCs/>
          <w:sz w:val="24"/>
          <w:szCs w:val="24"/>
        </w:rPr>
        <w:t xml:space="preserve">4.5 Independence properties</w:t>
      </w:r>
    </w:p>
    <w:p>
      <w:pPr>
        <w:shd w:fill="F2F2F2" w:val="clear"/>
        <w:spacing w:after="40" w:line="240"/>
        <w:ind w:left="360"/>
      </w:pPr>
      <w:r>
        <w:rPr>
          <w:rFonts w:ascii="Courier New" w:cs="Courier New" w:eastAsia="Courier New" w:hAnsi="Courier New"/>
          <w:sz w:val="19"/>
          <w:szCs w:val="19"/>
        </w:rPr>
        <w:t xml:space="preserve">ind &lt;- dda.indep(m, pred = "x", data = dat, nlfun = 2,</w:t>
      </w:r>
    </w:p>
    <w:p>
      <w:pPr>
        <w:shd w:fill="F2F2F2" w:val="clear"/>
        <w:spacing w:after="40" w:line="240"/>
        <w:ind w:left="360"/>
      </w:pPr>
      <w:r>
        <w:rPr>
          <w:rFonts w:ascii="Courier New" w:cs="Courier New" w:eastAsia="Courier New" w:hAnsi="Courier New"/>
          <w:sz w:val="19"/>
          <w:szCs w:val="19"/>
        </w:rPr>
        <w:t xml:space="preserve">                 hetero = TRUE, diff = TRUE, B = 500)</w:t>
      </w:r>
    </w:p>
    <w:p>
      <w:pPr>
        <w:shd w:fill="F2F2F2" w:val="clear"/>
        <w:spacing w:after="40" w:line="240"/>
        <w:ind w:left="360"/>
      </w:pPr>
      <w:r>
        <w:rPr>
          <w:rFonts w:ascii="Courier New" w:cs="Courier New" w:eastAsia="Courier New" w:hAnsi="Courier New"/>
          <w:sz w:val="19"/>
          <w:szCs w:val="19"/>
        </w:rPr>
        <w:t xml:space="preserve">print(ind)</w:t>
      </w:r>
    </w:p>
    <w:p>
      <w:pPr>
        <w:pStyle w:val="ListParagraph"/>
        <w:numPr>
          <w:ilvl w:val="0"/>
          <w:numId w:val="2"/>
        </w:numPr>
        <w:spacing w:after="60" w:line="300"/>
      </w:pPr>
      <w:r>
        <w:rPr>
          <w:rFonts w:ascii="Times New Roman" w:cs="Times New Roman" w:eastAsia="Times New Roman" w:hAnsi="Times New Roman"/>
          <w:sz w:val="22"/>
          <w:szCs w:val="22"/>
        </w:rPr>
        <w:t xml:space="preserve">Walk through HSIC, dCor, the Breusch–Pagan pair, the non-linear correlation tests, and the difference CIs in that order.</w:t>
      </w:r>
    </w:p>
    <w:p>
      <w:pPr>
        <w:pStyle w:val="ListParagraph"/>
        <w:numPr>
          <w:ilvl w:val="0"/>
          <w:numId w:val="2"/>
        </w:numPr>
        <w:spacing w:after="60" w:line="300"/>
      </w:pPr>
      <w:r>
        <w:rPr>
          <w:rFonts w:ascii="Times New Roman" w:cs="Times New Roman" w:eastAsia="Times New Roman" w:hAnsi="Times New Roman"/>
          <w:sz w:val="22"/>
          <w:szCs w:val="22"/>
        </w:rPr>
        <w:t xml:space="preserve">Show one alternative inference method (hsic.method = "permutation") and comment on whether the conclusion moves.</w:t>
      </w:r>
    </w:p>
    <w:p>
      <w:pPr>
        <w:pStyle w:val="Heading2"/>
        <w:spacing w:after="100" w:before="240"/>
      </w:pPr>
      <w:r>
        <w:rPr>
          <w:rFonts w:ascii="Times New Roman" w:cs="Times New Roman" w:eastAsia="Times New Roman" w:hAnsi="Times New Roman"/>
          <w:b/>
          <w:bCs/>
          <w:i/>
          <w:iCs/>
          <w:sz w:val="24"/>
          <w:szCs w:val="24"/>
        </w:rPr>
        <w:t xml:space="preserve">4.6 Conditional analysis</w:t>
      </w:r>
    </w:p>
    <w:p>
      <w:pPr>
        <w:shd w:fill="F2F2F2" w:val="clear"/>
        <w:spacing w:after="40" w:line="240"/>
        <w:ind w:left="360"/>
      </w:pPr>
      <w:r>
        <w:rPr>
          <w:rFonts w:ascii="Courier New" w:cs="Courier New" w:eastAsia="Courier New" w:hAnsi="Courier New"/>
          <w:sz w:val="19"/>
          <w:szCs w:val="19"/>
        </w:rPr>
        <w:t xml:space="preserve">mi &lt;- lm(y ~ x * z, data = dat)</w:t>
      </w:r>
    </w:p>
    <w:p>
      <w:pPr>
        <w:shd w:fill="F2F2F2" w:val="clear"/>
        <w:spacing w:after="40" w:line="240"/>
        <w:ind w:left="360"/>
      </w:pPr>
      <w:r>
        <w:rPr>
          <w:rFonts w:ascii="Courier New" w:cs="Courier New" w:eastAsia="Courier New" w:hAnsi="Courier New"/>
          <w:sz w:val="19"/>
          <w:szCs w:val="19"/>
        </w:rPr>
        <w:t xml:space="preserve">ci &lt;- cdda.indep(mi, pred = "x", mod = "z", modval = "JN",</w:t>
      </w:r>
    </w:p>
    <w:p>
      <w:pPr>
        <w:shd w:fill="F2F2F2" w:val="clear"/>
        <w:spacing w:after="40" w:line="240"/>
        <w:ind w:left="360"/>
      </w:pPr>
      <w:r>
        <w:rPr>
          <w:rFonts w:ascii="Courier New" w:cs="Courier New" w:eastAsia="Courier New" w:hAnsi="Courier New"/>
          <w:sz w:val="19"/>
          <w:szCs w:val="19"/>
        </w:rPr>
        <w:t xml:space="preserve">                 data = dat, diff = TRUE, hetero = TRUE, B = 500)</w:t>
      </w:r>
    </w:p>
    <w:p>
      <w:pPr>
        <w:shd w:fill="F2F2F2" w:val="clear"/>
        <w:spacing w:after="40" w:line="240"/>
        <w:ind w:left="360"/>
      </w:pPr>
      <w:r>
        <w:rPr>
          <w:rFonts w:ascii="Courier New" w:cs="Courier New" w:eastAsia="Courier New" w:hAnsi="Courier New"/>
          <w:sz w:val="19"/>
          <w:szCs w:val="19"/>
        </w:rPr>
        <w:t xml:space="preserve">summary(ci, hsic.diff = TRUE, dcor.diff = TRUE)</w:t>
      </w:r>
    </w:p>
    <w:p>
      <w:pPr>
        <w:shd w:fill="F2F2F2" w:val="clear"/>
        <w:spacing w:after="40" w:line="240"/>
        <w:ind w:left="360"/>
      </w:pPr>
      <w:r>
        <w:rPr>
          <w:rFonts w:ascii="Courier New" w:cs="Courier New" w:eastAsia="Courier New" w:hAnsi="Courier New"/>
          <w:sz w:val="19"/>
          <w:szCs w:val="19"/>
        </w:rPr>
        <w:t xml:space="preserve">plot(ci, stat = "dcor.diff")</w:t>
      </w:r>
    </w:p>
    <w:p>
      <w:pPr>
        <w:pStyle w:val="ListParagraph"/>
        <w:numPr>
          <w:ilvl w:val="0"/>
          <w:numId w:val="2"/>
        </w:numPr>
        <w:spacing w:after="60" w:line="300"/>
      </w:pPr>
      <w:r>
        <w:rPr>
          <w:rFonts w:ascii="Times New Roman" w:cs="Times New Roman" w:eastAsia="Times New Roman" w:hAnsi="Times New Roman"/>
          <w:sz w:val="22"/>
          <w:szCs w:val="22"/>
        </w:rPr>
        <w:t xml:space="preserve">FIGURE 1 — the conditional difference plot with its CI band. Caption must say how to read the crossing of zero.</w:t>
      </w:r>
    </w:p>
    <w:p>
      <w:pPr>
        <w:pStyle w:val="Heading2"/>
        <w:spacing w:after="100" w:before="240"/>
      </w:pPr>
      <w:r>
        <w:rPr>
          <w:rFonts w:ascii="Times New Roman" w:cs="Times New Roman" w:eastAsia="Times New Roman" w:hAnsi="Times New Roman"/>
          <w:b/>
          <w:bCs/>
          <w:i/>
          <w:iCs/>
          <w:sz w:val="24"/>
          <w:szCs w:val="24"/>
        </w:rPr>
        <w:t xml:space="preserve">4.7 Robustness and decision stability</w:t>
      </w:r>
    </w:p>
    <w:p>
      <w:pPr>
        <w:shd w:fill="F2F2F2" w:val="clear"/>
        <w:spacing w:after="40" w:line="240"/>
        <w:ind w:left="360"/>
      </w:pPr>
      <w:r>
        <w:rPr>
          <w:rFonts w:ascii="Courier New" w:cs="Courier New" w:eastAsia="Courier New" w:hAnsi="Courier New"/>
          <w:sz w:val="19"/>
          <w:szCs w:val="19"/>
        </w:rPr>
        <w:t xml:space="preserve">ind_rob &lt;- dda.indep(m, pred = "x", data = dat, robust = TRUE,</w:t>
      </w:r>
    </w:p>
    <w:p>
      <w:pPr>
        <w:shd w:fill="F2F2F2" w:val="clear"/>
        <w:spacing w:after="40" w:line="240"/>
        <w:ind w:left="360"/>
      </w:pPr>
      <w:r>
        <w:rPr>
          <w:rFonts w:ascii="Courier New" w:cs="Courier New" w:eastAsia="Courier New" w:hAnsi="Courier New"/>
          <w:sz w:val="19"/>
          <w:szCs w:val="19"/>
        </w:rPr>
        <w:t xml:space="preserve">                     hetero = TRUE, B = 500)</w:t>
      </w:r>
    </w:p>
    <w:p>
      <w:pPr>
        <w:shd w:fill="F2F2F2" w:val="clear"/>
        <w:spacing w:after="40" w:line="240"/>
        <w:ind w:left="360"/>
      </w:pPr>
      <w:r>
        <w:rPr>
          <w:rFonts w:ascii="Courier New" w:cs="Courier New" w:eastAsia="Courier New" w:hAnsi="Courier New"/>
          <w:sz w:val="19"/>
          <w:szCs w:val="19"/>
        </w:rPr>
        <w:t xml:space="preserve">bag &lt;- dda.bagging(ind, data = dat, iter = 200, agg_stat = "trimmed")</w:t>
      </w:r>
    </w:p>
    <w:p>
      <w:pPr>
        <w:shd w:fill="F2F2F2" w:val="clear"/>
        <w:spacing w:after="40" w:line="240"/>
        <w:ind w:left="360"/>
      </w:pPr>
      <w:r>
        <w:rPr>
          <w:rFonts w:ascii="Courier New" w:cs="Courier New" w:eastAsia="Courier New" w:hAnsi="Courier New"/>
          <w:sz w:val="19"/>
          <w:szCs w:val="19"/>
        </w:rPr>
        <w:t xml:space="preserve">summary(bag, show = c("hsic", "dcor", "bp"))</w:t>
      </w:r>
    </w:p>
    <w:p>
      <w:pPr>
        <w:pStyle w:val="ListParagraph"/>
        <w:numPr>
          <w:ilvl w:val="0"/>
          <w:numId w:val="2"/>
        </w:numPr>
        <w:spacing w:after="60" w:line="300"/>
      </w:pPr>
      <w:r>
        <w:rPr>
          <w:rFonts w:ascii="Times New Roman" w:cs="Times New Roman" w:eastAsia="Times New Roman" w:hAnsi="Times New Roman"/>
          <w:sz w:val="22"/>
          <w:szCs w:val="22"/>
        </w:rPr>
        <w:t xml:space="preserve">TABLE 2 — decision proportions across resamples (target / alternative / undecided) for each criterion. This is the single most persuasive display in the paper: report it even if it is messy.</w:t>
      </w:r>
    </w:p>
    <w:p>
      <w:pPr>
        <w:pStyle w:val="Heading2"/>
        <w:spacing w:after="100" w:before="240"/>
      </w:pPr>
      <w:r>
        <w:rPr>
          <w:rFonts w:ascii="Times New Roman" w:cs="Times New Roman" w:eastAsia="Times New Roman" w:hAnsi="Times New Roman"/>
          <w:b/>
          <w:bCs/>
          <w:i/>
          <w:iCs/>
          <w:sz w:val="24"/>
          <w:szCs w:val="24"/>
        </w:rPr>
        <w:t xml:space="preserve">4.8 Synthesis</w:t>
      </w:r>
    </w:p>
    <w:p>
      <w:pPr>
        <w:pStyle w:val="ListParagraph"/>
        <w:numPr>
          <w:ilvl w:val="0"/>
          <w:numId w:val="2"/>
        </w:numPr>
        <w:spacing w:after="60" w:line="300"/>
      </w:pPr>
      <w:r>
        <w:rPr>
          <w:rFonts w:ascii="Times New Roman" w:cs="Times New Roman" w:eastAsia="Times New Roman" w:hAnsi="Times New Roman"/>
          <w:sz w:val="22"/>
          <w:szCs w:val="22"/>
        </w:rPr>
        <w:t xml:space="preserve">Bring the criteria together into one conclusion, and say explicitly what you would have concluded had they disagreed.</w:t>
      </w:r>
    </w:p>
    <w:p>
      <w:pPr>
        <w:pStyle w:val="ListParagraph"/>
        <w:numPr>
          <w:ilvl w:val="0"/>
          <w:numId w:val="2"/>
        </w:numPr>
        <w:spacing w:after="60" w:line="300"/>
      </w:pPr>
      <w:r>
        <w:rPr>
          <w:rFonts w:ascii="Times New Roman" w:cs="Times New Roman" w:eastAsia="Times New Roman" w:hAnsi="Times New Roman"/>
          <w:sz w:val="22"/>
          <w:szCs w:val="22"/>
        </w:rPr>
        <w:t xml:space="preserve">Report the substantive interpretation in the language of the original research question, not in the language of test statistics.</w:t>
      </w:r>
    </w:p>
    <w:p>
      <w:pPr>
        <w:pStyle w:val="Heading1"/>
        <w:spacing w:after="140" w:before="320"/>
      </w:pPr>
      <w:r>
        <w:rPr>
          <w:rFonts w:ascii="Times New Roman" w:cs="Times New Roman" w:eastAsia="Times New Roman" w:hAnsi="Times New Roman"/>
          <w:b/>
          <w:bCs/>
          <w:sz w:val="26"/>
          <w:szCs w:val="26"/>
        </w:rPr>
        <w:t xml:space="preserve">5. Practical Guidance</w:t>
      </w:r>
    </w:p>
    <w:p>
      <w:pPr>
        <w:spacing w:after="120" w:line="300"/>
      </w:pPr>
      <w:r>
        <w:rPr>
          <w:rFonts w:ascii="Times New Roman" w:cs="Times New Roman" w:eastAsia="Times New Roman" w:hAnsi="Times New Roman"/>
          <w:i/>
          <w:iCs/>
          <w:color w:val="555555"/>
          <w:sz w:val="20"/>
          <w:szCs w:val="20"/>
        </w:rPr>
        <w:t xml:space="preserve">Job: the section reviewers will judge the paper’s usefulness on. Write it as advice, not as caveats. Budget ~1,200 words.</w:t>
      </w:r>
    </w:p>
    <w:p>
      <w:pPr>
        <w:pStyle w:val="ListParagraph"/>
        <w:numPr>
          <w:ilvl w:val="0"/>
          <w:numId w:val="2"/>
        </w:numPr>
        <w:spacing w:after="60" w:line="300"/>
      </w:pPr>
      <w:r>
        <w:rPr>
          <w:rFonts w:ascii="Times New Roman" w:cs="Times New Roman" w:eastAsia="Times New Roman" w:hAnsi="Times New Roman"/>
          <w:sz w:val="22"/>
          <w:szCs w:val="22"/>
        </w:rPr>
        <w:t xml:space="preserve">Sample size: state what you consider a working minimum and on what basis (cite simulation evidence rather than asserting a rule of thumb).</w:t>
      </w:r>
    </w:p>
    <w:p>
      <w:pPr>
        <w:pStyle w:val="ListParagraph"/>
        <w:numPr>
          <w:ilvl w:val="0"/>
          <w:numId w:val="2"/>
        </w:numPr>
        <w:spacing w:after="60" w:line="300"/>
      </w:pPr>
      <w:r>
        <w:rPr>
          <w:rFonts w:ascii="Times New Roman" w:cs="Times New Roman" w:eastAsia="Times New Roman" w:hAnsi="Times New Roman"/>
          <w:sz w:val="22"/>
          <w:szCs w:val="22"/>
        </w:rPr>
        <w:t xml:space="preserve">How much non-normality is enough — give a diagnostic the reader can run before trusting any DDA result.</w:t>
      </w:r>
    </w:p>
    <w:p>
      <w:pPr>
        <w:pStyle w:val="ListParagraph"/>
        <w:numPr>
          <w:ilvl w:val="0"/>
          <w:numId w:val="2"/>
        </w:numPr>
        <w:spacing w:after="60" w:line="300"/>
      </w:pPr>
      <w:r>
        <w:rPr>
          <w:rFonts w:ascii="Times New Roman" w:cs="Times New Roman" w:eastAsia="Times New Roman" w:hAnsi="Times New Roman"/>
          <w:sz w:val="22"/>
          <w:szCs w:val="22"/>
        </w:rPr>
        <w:t xml:space="preserve">What to do when criteria disagree. Give an explicit ordering or decision tree, and defend it.</w:t>
      </w:r>
    </w:p>
    <w:p>
      <w:pPr>
        <w:pStyle w:val="ListParagraph"/>
        <w:numPr>
          <w:ilvl w:val="0"/>
          <w:numId w:val="2"/>
        </w:numPr>
        <w:spacing w:after="60" w:line="300"/>
      </w:pPr>
      <w:r>
        <w:rPr>
          <w:rFonts w:ascii="Times New Roman" w:cs="Times New Roman" w:eastAsia="Times New Roman" w:hAnsi="Times New Roman"/>
          <w:sz w:val="22"/>
          <w:szCs w:val="22"/>
        </w:rPr>
        <w:t xml:space="preserve">Confounding: how DDA behaves under an unmeasured common cause, and what the “undecided” pattern does and does not tell you about confounding.</w:t>
      </w:r>
    </w:p>
    <w:p>
      <w:pPr>
        <w:pStyle w:val="ListParagraph"/>
        <w:numPr>
          <w:ilvl w:val="0"/>
          <w:numId w:val="2"/>
        </w:numPr>
        <w:spacing w:after="60" w:line="300"/>
      </w:pPr>
      <w:r>
        <w:rPr>
          <w:rFonts w:ascii="Times New Roman" w:cs="Times New Roman" w:eastAsia="Times New Roman" w:hAnsi="Times New Roman"/>
          <w:sz w:val="22"/>
          <w:szCs w:val="22"/>
        </w:rPr>
        <w:t xml:space="preserve">Choosing hsic.method, boot.type, and B; when BCa is worth the cost and how to recognize its failure mode.</w:t>
      </w:r>
    </w:p>
    <w:p>
      <w:pPr>
        <w:pStyle w:val="ListParagraph"/>
        <w:numPr>
          <w:ilvl w:val="0"/>
          <w:numId w:val="2"/>
        </w:numPr>
        <w:spacing w:after="60" w:line="300"/>
      </w:pPr>
      <w:r>
        <w:rPr>
          <w:rFonts w:ascii="Times New Roman" w:cs="Times New Roman" w:eastAsia="Times New Roman" w:hAnsi="Times New Roman"/>
          <w:sz w:val="22"/>
          <w:szCs w:val="22"/>
        </w:rPr>
        <w:t xml:space="preserve">Reporting standards: propose a short checklist of what a DDA result should include in a manuscript (assumption checks, B, inference method, all three criteria, bagging stability).</w:t>
      </w:r>
    </w:p>
    <w:p>
      <w:pPr>
        <w:pStyle w:val="ListParagraph"/>
        <w:numPr>
          <w:ilvl w:val="0"/>
          <w:numId w:val="2"/>
        </w:numPr>
        <w:spacing w:after="60" w:line="300"/>
      </w:pPr>
      <w:r>
        <w:rPr>
          <w:rFonts w:ascii="Times New Roman" w:cs="Times New Roman" w:eastAsia="Times New Roman" w:hAnsi="Times New Roman"/>
          <w:sz w:val="22"/>
          <w:szCs w:val="22"/>
        </w:rPr>
        <w:t xml:space="preserve">Common errors: forgetting to include covariates in the target model, running DDA on near-normal data, reading an undecided CI as support for the target model.</w:t>
      </w:r>
    </w:p>
    <w:p>
      <w:pPr>
        <w:pStyle w:val="Heading1"/>
        <w:spacing w:after="140" w:before="320"/>
      </w:pPr>
      <w:r>
        <w:rPr>
          <w:rFonts w:ascii="Times New Roman" w:cs="Times New Roman" w:eastAsia="Times New Roman" w:hAnsi="Times New Roman"/>
          <w:b/>
          <w:bCs/>
          <w:sz w:val="26"/>
          <w:szCs w:val="26"/>
        </w:rPr>
        <w:t xml:space="preserve">6. Discussion</w:t>
      </w:r>
    </w:p>
    <w:p>
      <w:pPr>
        <w:spacing w:after="120" w:line="300"/>
      </w:pPr>
      <w:r>
        <w:rPr>
          <w:rFonts w:ascii="Times New Roman" w:cs="Times New Roman" w:eastAsia="Times New Roman" w:hAnsi="Times New Roman"/>
          <w:i/>
          <w:iCs/>
          <w:color w:val="555555"/>
          <w:sz w:val="20"/>
          <w:szCs w:val="20"/>
        </w:rPr>
        <w:t xml:space="preserve">Budget ~800 words.</w:t>
      </w:r>
    </w:p>
    <w:p>
      <w:pPr>
        <w:pStyle w:val="ListParagraph"/>
        <w:numPr>
          <w:ilvl w:val="0"/>
          <w:numId w:val="2"/>
        </w:numPr>
        <w:spacing w:after="60" w:line="300"/>
      </w:pPr>
      <w:r>
        <w:rPr>
          <w:rFonts w:ascii="Times New Roman" w:cs="Times New Roman" w:eastAsia="Times New Roman" w:hAnsi="Times New Roman"/>
          <w:sz w:val="22"/>
          <w:szCs w:val="22"/>
        </w:rPr>
        <w:t xml:space="preserve">Summarize what the tutorial established, in two or three sentences — resist re-listing the sections.</w:t>
      </w:r>
    </w:p>
    <w:p>
      <w:pPr>
        <w:pStyle w:val="ListParagraph"/>
        <w:numPr>
          <w:ilvl w:val="0"/>
          <w:numId w:val="2"/>
        </w:numPr>
        <w:spacing w:after="60" w:line="300"/>
      </w:pPr>
      <w:r>
        <w:rPr>
          <w:rFonts w:ascii="Times New Roman" w:cs="Times New Roman" w:eastAsia="Times New Roman" w:hAnsi="Times New Roman"/>
          <w:sz w:val="22"/>
          <w:szCs w:val="22"/>
        </w:rPr>
        <w:t xml:space="preserve">Limitations of the method: linearity, the pairwise no-confounding assumption, dependence on non-normality, and behavior under measurement error.</w:t>
      </w:r>
    </w:p>
    <w:p>
      <w:pPr>
        <w:pStyle w:val="ListParagraph"/>
        <w:numPr>
          <w:ilvl w:val="0"/>
          <w:numId w:val="2"/>
        </w:numPr>
        <w:spacing w:after="60" w:line="300"/>
      </w:pPr>
      <w:r>
        <w:rPr>
          <w:rFonts w:ascii="Times New Roman" w:cs="Times New Roman" w:eastAsia="Times New Roman" w:hAnsi="Times New Roman"/>
          <w:sz w:val="22"/>
          <w:szCs w:val="22"/>
        </w:rPr>
        <w:t xml:space="preserve">Limitations of the software: current scope, performance ceilings, what is not yet implemented.</w:t>
      </w:r>
    </w:p>
    <w:p>
      <w:pPr>
        <w:pStyle w:val="ListParagraph"/>
        <w:numPr>
          <w:ilvl w:val="0"/>
          <w:numId w:val="2"/>
        </w:numPr>
        <w:spacing w:after="60" w:line="300"/>
      </w:pPr>
      <w:r>
        <w:rPr>
          <w:rFonts w:ascii="Times New Roman" w:cs="Times New Roman" w:eastAsia="Times New Roman" w:hAnsi="Times New Roman"/>
          <w:sz w:val="22"/>
          <w:szCs w:val="22"/>
        </w:rPr>
        <w:t xml:space="preserve">Where DDA fits alongside experimental and quasi-experimental designs — position it as a tool for generating and screening directional hypotheses, not as a substitute for design.</w:t>
      </w:r>
    </w:p>
    <w:p>
      <w:pPr>
        <w:pStyle w:val="ListParagraph"/>
        <w:numPr>
          <w:ilvl w:val="0"/>
          <w:numId w:val="2"/>
        </w:numPr>
        <w:spacing w:after="60" w:line="300"/>
      </w:pPr>
      <w:r>
        <w:rPr>
          <w:rFonts w:ascii="Times New Roman" w:cs="Times New Roman" w:eastAsia="Times New Roman" w:hAnsi="Times New Roman"/>
          <w:sz w:val="22"/>
          <w:szCs w:val="22"/>
        </w:rPr>
        <w:t xml:space="preserve">Planned extensions (generalized linear models, categorical outcomes, multilevel data) — keep this short and non-promissory.</w:t>
      </w:r>
    </w:p>
    <w:p>
      <w:pPr>
        <w:pStyle w:val="Heading1"/>
        <w:spacing w:after="140" w:before="320"/>
      </w:pPr>
      <w:r>
        <w:rPr>
          <w:rFonts w:ascii="Times New Roman" w:cs="Times New Roman" w:eastAsia="Times New Roman" w:hAnsi="Times New Roman"/>
          <w:b/>
          <w:bCs/>
          <w:sz w:val="26"/>
          <w:szCs w:val="26"/>
        </w:rPr>
        <w:t xml:space="preserve">Back Matter</w:t>
      </w:r>
    </w:p>
    <w:p>
      <w:pPr>
        <w:pStyle w:val="Heading2"/>
        <w:spacing w:after="100" w:before="240"/>
      </w:pPr>
      <w:r>
        <w:rPr>
          <w:rFonts w:ascii="Times New Roman" w:cs="Times New Roman" w:eastAsia="Times New Roman" w:hAnsi="Times New Roman"/>
          <w:b/>
          <w:bCs/>
          <w:i/>
          <w:iCs/>
          <w:sz w:val="24"/>
          <w:szCs w:val="24"/>
        </w:rPr>
        <w:t xml:space="preserve">Open Practices Statement</w:t>
      </w:r>
    </w:p>
    <w:p>
      <w:pPr>
        <w:pStyle w:val="ListParagraph"/>
        <w:numPr>
          <w:ilvl w:val="0"/>
          <w:numId w:val="2"/>
        </w:numPr>
        <w:spacing w:after="60" w:line="300"/>
      </w:pPr>
      <w:r>
        <w:rPr>
          <w:rFonts w:ascii="Times New Roman" w:cs="Times New Roman" w:eastAsia="Times New Roman" w:hAnsi="Times New Roman"/>
          <w:sz w:val="22"/>
          <w:szCs w:val="22"/>
        </w:rPr>
        <w:t xml:space="preserve">Package version and CRAN/GitHub location; R version and platform used for all reported output.</w:t>
      </w:r>
    </w:p>
    <w:p>
      <w:pPr>
        <w:pStyle w:val="ListParagraph"/>
        <w:numPr>
          <w:ilvl w:val="0"/>
          <w:numId w:val="2"/>
        </w:numPr>
        <w:spacing w:after="60" w:line="300"/>
      </w:pPr>
      <w:r>
        <w:rPr>
          <w:rFonts w:ascii="Times New Roman" w:cs="Times New Roman" w:eastAsia="Times New Roman" w:hAnsi="Times New Roman"/>
          <w:sz w:val="22"/>
          <w:szCs w:val="22"/>
        </w:rPr>
        <w:t xml:space="preserve">Analysis scripts and data deposited at OSF; give the DOI. State the random seeds used.</w:t>
      </w:r>
    </w:p>
    <w:p>
      <w:pPr>
        <w:pStyle w:val="Heading2"/>
        <w:spacing w:after="100" w:before="240"/>
      </w:pPr>
      <w:r>
        <w:rPr>
          <w:rFonts w:ascii="Times New Roman" w:cs="Times New Roman" w:eastAsia="Times New Roman" w:hAnsi="Times New Roman"/>
          <w:b/>
          <w:bCs/>
          <w:i/>
          <w:iCs/>
          <w:sz w:val="24"/>
          <w:szCs w:val="24"/>
        </w:rPr>
        <w:t xml:space="preserve">Author Contributions / Funding / Conflicts</w:t>
      </w:r>
    </w:p>
    <w:p>
      <w:pPr>
        <w:pStyle w:val="ListParagraph"/>
        <w:numPr>
          <w:ilvl w:val="0"/>
          <w:numId w:val="2"/>
        </w:numPr>
        <w:spacing w:after="60" w:line="300"/>
      </w:pPr>
      <w:r>
        <w:rPr>
          <w:rFonts w:ascii="Times New Roman" w:cs="Times New Roman" w:eastAsia="Times New Roman" w:hAnsi="Times New Roman"/>
          <w:sz w:val="22"/>
          <w:szCs w:val="22"/>
        </w:rPr>
        <w:t xml:space="preserve">CRediT-style statement; funding sources; declaration of interest — note that authorship of the software being reviewed should be disclosed here.</w:t>
      </w:r>
    </w:p>
    <w:p>
      <w:pPr>
        <w:pStyle w:val="Heading2"/>
        <w:spacing w:after="100" w:before="240"/>
      </w:pPr>
      <w:r>
        <w:rPr>
          <w:rFonts w:ascii="Times New Roman" w:cs="Times New Roman" w:eastAsia="Times New Roman" w:hAnsi="Times New Roman"/>
          <w:b/>
          <w:bCs/>
          <w:i/>
          <w:iCs/>
          <w:sz w:val="24"/>
          <w:szCs w:val="24"/>
        </w:rPr>
        <w:t xml:space="preserve">References</w:t>
      </w:r>
    </w:p>
    <w:p>
      <w:pPr>
        <w:pStyle w:val="ListParagraph"/>
        <w:numPr>
          <w:ilvl w:val="0"/>
          <w:numId w:val="2"/>
        </w:numPr>
        <w:spacing w:after="60" w:line="300"/>
      </w:pPr>
      <w:r>
        <w:rPr>
          <w:rFonts w:ascii="Times New Roman" w:cs="Times New Roman" w:eastAsia="Times New Roman" w:hAnsi="Times New Roman"/>
          <w:sz w:val="22"/>
          <w:szCs w:val="22"/>
        </w:rPr>
        <w:t xml:space="preserve">APA 7. Anchor citations: Wiedermann &amp; von Eye (2025); Wiedermann &amp; Li on DDA independence; Shimizu et al. (2006) on LiNGAM; Gretton et al. (2008) on HSIC; Székely et al. (2007) on distance correlation; Siegel (1982); Wilson (2019); Pfister &amp; Peters (dHSIC); R Core Team.</w:t>
      </w:r>
    </w:p>
    <w:p>
      <w:pPr>
        <w:pStyle w:val="Heading2"/>
        <w:spacing w:after="100" w:before="240"/>
      </w:pPr>
      <w:r>
        <w:rPr>
          <w:rFonts w:ascii="Times New Roman" w:cs="Times New Roman" w:eastAsia="Times New Roman" w:hAnsi="Times New Roman"/>
          <w:b/>
          <w:bCs/>
          <w:i/>
          <w:iCs/>
          <w:sz w:val="24"/>
          <w:szCs w:val="24"/>
        </w:rPr>
        <w:t xml:space="preserve">Appendix A. Full reproducible script</w:t>
      </w:r>
    </w:p>
    <w:p>
      <w:pPr>
        <w:pStyle w:val="ListParagraph"/>
        <w:numPr>
          <w:ilvl w:val="0"/>
          <w:numId w:val="2"/>
        </w:numPr>
        <w:spacing w:after="60" w:line="300"/>
      </w:pPr>
      <w:r>
        <w:rPr>
          <w:rFonts w:ascii="Times New Roman" w:cs="Times New Roman" w:eastAsia="Times New Roman" w:hAnsi="Times New Roman"/>
          <w:sz w:val="22"/>
          <w:szCs w:val="22"/>
        </w:rPr>
        <w:t xml:space="preserve">A single script that regenerates every number, table, and figure in the paper, with sessionInfo() output appended.</w:t>
      </w:r>
    </w:p>
    <w:p>
      <w:pPr>
        <w:pStyle w:val="Heading2"/>
        <w:spacing w:after="100" w:before="240"/>
      </w:pPr>
      <w:r>
        <w:rPr>
          <w:rFonts w:ascii="Times New Roman" w:cs="Times New Roman" w:eastAsia="Times New Roman" w:hAnsi="Times New Roman"/>
          <w:b/>
          <w:bCs/>
          <w:i/>
          <w:iCs/>
          <w:sz w:val="24"/>
          <w:szCs w:val="24"/>
        </w:rPr>
        <w:t xml:space="preserve">Appendix B. Simulation sanity check (optional)</w:t>
      </w:r>
    </w:p>
    <w:p>
      <w:pPr>
        <w:pStyle w:val="ListParagraph"/>
        <w:numPr>
          <w:ilvl w:val="0"/>
          <w:numId w:val="2"/>
        </w:numPr>
        <w:spacing w:after="60" w:line="300"/>
      </w:pPr>
      <w:r>
        <w:rPr>
          <w:rFonts w:ascii="Times New Roman" w:cs="Times New Roman" w:eastAsia="Times New Roman" w:hAnsi="Times New Roman"/>
          <w:sz w:val="22"/>
          <w:szCs w:val="22"/>
        </w:rPr>
        <w:t xml:space="preserve">A short simulation showing recovery of the known direction under the paper’s conditions — include only if a reviewer would otherwise ask for it.</w:t>
      </w:r>
    </w:p>
    <w:p>
      <w:pPr>
        <w:pBdr>
          <w:bottom w:val="single" w:color="BBBBBB" w:sz="6" w:space="1"/>
        </w:pBdr>
        <w:spacing w:after="120" w:before="120"/>
      </w:pPr>
    </w:p>
    <w:p>
      <w:pPr>
        <w:spacing w:after="120" w:line="300"/>
      </w:pPr>
      <w:r>
        <w:rPr>
          <w:rFonts w:ascii="Times New Roman" w:cs="Times New Roman" w:eastAsia="Times New Roman" w:hAnsi="Times New Roman"/>
          <w:i/>
          <w:iCs/>
          <w:color w:val="555555"/>
          <w:sz w:val="20"/>
          <w:szCs w:val="20"/>
        </w:rPr>
        <w:t xml:space="preserve">Submission checklist: title page with full affiliations · anonymized manuscript if the journal requires masked review · abstract within the journal limit · APA 7 headings and references · figures at required resolution as separate files · tables at the end or in place per journal instruction · open-practices statement with OSF DOI · cover letter naming the article type and stating the software is on CRAN.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2026-08-30T01:34:31.083Z</dcterms:created>
  <dcterms:modified xsi:type="dcterms:W3CDTF">2026-08-30T01:34:31.096Z</dcterms:modified>
</cp:coreProperties>
</file>

<file path=docProps/custom.xml><?xml version="1.0" encoding="utf-8"?>
<Properties xmlns="http://schemas.openxmlformats.org/officeDocument/2006/custom-properties" xmlns:vt="http://schemas.openxmlformats.org/officeDocument/2006/docPropsVTypes"/>
</file>