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905"/>
        <w:gridCol w:w="1659"/>
        <w:gridCol w:w="1397"/>
        <w:gridCol w:w="1921"/>
      </w:tblGrid>
      <w:tr w14:paraId="7F966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Borders>
              <w:top w:val="nil"/>
              <w:left w:val="nil"/>
              <w:bottom w:val="nil"/>
              <w:right w:val="nil"/>
            </w:tcBorders>
          </w:tcPr>
          <w:p w14:paraId="5395C7B3">
            <w:pPr>
              <w:jc w:val="left"/>
              <w:rPr>
                <w:rFonts w:ascii="仿宋" w:hAnsi="仿宋" w:eastAsia="仿宋"/>
                <w:sz w:val="28"/>
                <w:szCs w:val="28"/>
              </w:rPr>
            </w:pPr>
          </w:p>
        </w:tc>
        <w:tc>
          <w:tcPr>
            <w:tcW w:w="1905" w:type="dxa"/>
            <w:tcBorders>
              <w:top w:val="nil"/>
              <w:left w:val="nil"/>
              <w:bottom w:val="nil"/>
              <w:right w:val="nil"/>
            </w:tcBorders>
          </w:tcPr>
          <w:p w14:paraId="3E497CB1">
            <w:pPr>
              <w:jc w:val="left"/>
              <w:rPr>
                <w:rFonts w:hint="eastAsia" w:ascii="仿宋" w:hAnsi="仿宋" w:eastAsia="仿宋"/>
                <w:sz w:val="28"/>
                <w:szCs w:val="28"/>
              </w:rPr>
            </w:pPr>
          </w:p>
        </w:tc>
        <w:tc>
          <w:tcPr>
            <w:tcW w:w="1659" w:type="dxa"/>
            <w:tcBorders>
              <w:top w:val="nil"/>
              <w:left w:val="nil"/>
              <w:bottom w:val="nil"/>
              <w:right w:val="single" w:color="auto" w:sz="4" w:space="0"/>
            </w:tcBorders>
          </w:tcPr>
          <w:p w14:paraId="19DDB990">
            <w:pPr>
              <w:jc w:val="left"/>
              <w:rPr>
                <w:rFonts w:hint="eastAsia" w:ascii="仿宋" w:hAnsi="仿宋" w:eastAsia="仿宋"/>
                <w:sz w:val="28"/>
                <w:szCs w:val="28"/>
              </w:rPr>
            </w:pPr>
          </w:p>
        </w:tc>
        <w:tc>
          <w:tcPr>
            <w:tcW w:w="1397" w:type="dxa"/>
            <w:tcBorders>
              <w:left w:val="single" w:color="auto" w:sz="4" w:space="0"/>
            </w:tcBorders>
          </w:tcPr>
          <w:p w14:paraId="6E0E017F">
            <w:pPr>
              <w:jc w:val="center"/>
              <w:rPr>
                <w:rFonts w:ascii="仿宋" w:hAnsi="仿宋" w:eastAsia="仿宋"/>
                <w:sz w:val="28"/>
                <w:szCs w:val="28"/>
              </w:rPr>
            </w:pPr>
            <w:r>
              <w:rPr>
                <w:rFonts w:hint="eastAsia" w:ascii="仿宋" w:hAnsi="仿宋" w:eastAsia="仿宋"/>
                <w:sz w:val="28"/>
                <w:szCs w:val="28"/>
              </w:rPr>
              <w:t>成  绩</w:t>
            </w:r>
          </w:p>
        </w:tc>
        <w:tc>
          <w:tcPr>
            <w:tcW w:w="1921" w:type="dxa"/>
          </w:tcPr>
          <w:p w14:paraId="360064E7">
            <w:pPr>
              <w:jc w:val="left"/>
              <w:rPr>
                <w:rFonts w:hint="eastAsia" w:ascii="仿宋" w:hAnsi="仿宋" w:eastAsia="仿宋"/>
                <w:sz w:val="28"/>
                <w:szCs w:val="28"/>
              </w:rPr>
            </w:pPr>
          </w:p>
        </w:tc>
      </w:tr>
      <w:tr w14:paraId="17570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Borders>
              <w:top w:val="nil"/>
              <w:left w:val="nil"/>
              <w:bottom w:val="nil"/>
              <w:right w:val="nil"/>
            </w:tcBorders>
          </w:tcPr>
          <w:p w14:paraId="35D45389">
            <w:pPr>
              <w:jc w:val="left"/>
              <w:rPr>
                <w:rFonts w:hint="eastAsia" w:ascii="仿宋" w:hAnsi="仿宋" w:eastAsia="仿宋"/>
                <w:sz w:val="28"/>
                <w:szCs w:val="28"/>
              </w:rPr>
            </w:pPr>
          </w:p>
        </w:tc>
        <w:tc>
          <w:tcPr>
            <w:tcW w:w="1905" w:type="dxa"/>
            <w:tcBorders>
              <w:top w:val="nil"/>
              <w:left w:val="nil"/>
              <w:bottom w:val="nil"/>
              <w:right w:val="nil"/>
            </w:tcBorders>
          </w:tcPr>
          <w:p w14:paraId="65F50315">
            <w:pPr>
              <w:jc w:val="left"/>
              <w:rPr>
                <w:rFonts w:hint="eastAsia" w:ascii="仿宋" w:hAnsi="仿宋" w:eastAsia="仿宋"/>
                <w:sz w:val="28"/>
                <w:szCs w:val="28"/>
              </w:rPr>
            </w:pPr>
          </w:p>
        </w:tc>
        <w:tc>
          <w:tcPr>
            <w:tcW w:w="1659" w:type="dxa"/>
            <w:tcBorders>
              <w:top w:val="nil"/>
              <w:left w:val="nil"/>
              <w:bottom w:val="nil"/>
              <w:right w:val="single" w:color="auto" w:sz="4" w:space="0"/>
            </w:tcBorders>
          </w:tcPr>
          <w:p w14:paraId="2990B77E">
            <w:pPr>
              <w:jc w:val="left"/>
              <w:rPr>
                <w:rFonts w:hint="eastAsia" w:ascii="仿宋" w:hAnsi="仿宋" w:eastAsia="仿宋"/>
                <w:sz w:val="28"/>
                <w:szCs w:val="28"/>
              </w:rPr>
            </w:pPr>
          </w:p>
        </w:tc>
        <w:tc>
          <w:tcPr>
            <w:tcW w:w="1397" w:type="dxa"/>
            <w:tcBorders>
              <w:left w:val="single" w:color="auto" w:sz="4" w:space="0"/>
            </w:tcBorders>
          </w:tcPr>
          <w:p w14:paraId="15156C2D">
            <w:pPr>
              <w:jc w:val="center"/>
              <w:rPr>
                <w:rFonts w:hint="eastAsia" w:ascii="仿宋" w:hAnsi="仿宋" w:eastAsia="仿宋"/>
                <w:sz w:val="28"/>
                <w:szCs w:val="28"/>
              </w:rPr>
            </w:pPr>
            <w:r>
              <w:rPr>
                <w:rFonts w:hint="eastAsia" w:ascii="仿宋" w:hAnsi="仿宋" w:eastAsia="仿宋"/>
                <w:sz w:val="28"/>
                <w:szCs w:val="28"/>
              </w:rPr>
              <w:t>评阅人</w:t>
            </w:r>
          </w:p>
        </w:tc>
        <w:tc>
          <w:tcPr>
            <w:tcW w:w="1921" w:type="dxa"/>
          </w:tcPr>
          <w:p w14:paraId="519FE5A6">
            <w:pPr>
              <w:jc w:val="left"/>
              <w:rPr>
                <w:rFonts w:hint="eastAsia" w:ascii="仿宋" w:hAnsi="仿宋" w:eastAsia="仿宋"/>
                <w:sz w:val="28"/>
                <w:szCs w:val="28"/>
              </w:rPr>
            </w:pPr>
          </w:p>
        </w:tc>
      </w:tr>
    </w:tbl>
    <w:p w14:paraId="5685FD24">
      <w:pPr>
        <w:rPr>
          <w:rFonts w:hint="eastAsia" w:ascii="仿宋" w:hAnsi="仿宋" w:eastAsia="仿宋" w:cs="Times New Roman"/>
          <w:vanish/>
          <w:szCs w:val="21"/>
        </w:rPr>
      </w:pPr>
      <w:r>
        <w:rPr>
          <w:rFonts w:ascii="仿宋" w:hAnsi="仿宋" w:eastAsia="仿宋"/>
          <w:vanish/>
        </w:rPr>
        <w:t xml:space="preserve"> </w:t>
      </w:r>
    </w:p>
    <w:p w14:paraId="5914927E">
      <w:pPr>
        <w:jc w:val="left"/>
        <w:rPr>
          <w:rFonts w:ascii="仿宋" w:hAnsi="仿宋" w:eastAsia="仿宋"/>
        </w:rPr>
      </w:pPr>
    </w:p>
    <w:p w14:paraId="521D9C0E">
      <w:pPr>
        <w:jc w:val="center"/>
        <w:rPr>
          <w:rFonts w:ascii="仿宋" w:hAnsi="仿宋" w:eastAsia="仿宋"/>
          <w:sz w:val="52"/>
          <w:szCs w:val="52"/>
        </w:rPr>
      </w:pPr>
      <w:r>
        <w:rPr>
          <w:rFonts w:hint="eastAsia" w:ascii="仿宋" w:hAnsi="仿宋" w:eastAsia="仿宋"/>
          <w:sz w:val="52"/>
          <w:szCs w:val="52"/>
        </w:rPr>
        <w:t xml:space="preserve"> </w:t>
      </w:r>
    </w:p>
    <w:p w14:paraId="7AFC2F98">
      <w:pPr>
        <w:jc w:val="left"/>
        <w:rPr>
          <w:rFonts w:hint="eastAsia" w:ascii="仿宋" w:hAnsi="仿宋" w:eastAsia="仿宋"/>
        </w:rPr>
      </w:pPr>
    </w:p>
    <w:p w14:paraId="166CB275">
      <w:pPr>
        <w:jc w:val="center"/>
        <w:rPr>
          <w:rFonts w:hint="eastAsia" w:ascii="方正小标宋_GBK" w:hAnsi="仿宋" w:eastAsia="方正小标宋_GBK"/>
          <w:b/>
          <w:bCs/>
          <w:sz w:val="52"/>
          <w:szCs w:val="52"/>
        </w:rPr>
      </w:pPr>
      <w:r>
        <w:rPr>
          <w:rFonts w:hint="eastAsia" w:ascii="方正小标宋_GBK" w:hAnsi="仿宋" w:eastAsia="方正小标宋_GBK"/>
          <w:b/>
          <w:bCs/>
          <w:sz w:val="52"/>
          <w:szCs w:val="52"/>
        </w:rPr>
        <w:t>复 旦 大 学</w:t>
      </w:r>
    </w:p>
    <w:p w14:paraId="56A3A3AD">
      <w:pPr>
        <w:jc w:val="center"/>
        <w:rPr>
          <w:rFonts w:hint="eastAsia" w:ascii="方正小标宋_GBK" w:hAnsi="仿宋" w:eastAsia="方正小标宋_GBK"/>
          <w:sz w:val="52"/>
          <w:szCs w:val="52"/>
        </w:rPr>
      </w:pPr>
      <w:r>
        <w:rPr>
          <w:rFonts w:hint="eastAsia" w:ascii="方正小标宋_GBK" w:hAnsi="仿宋" w:eastAsia="方正小标宋_GBK"/>
          <w:b/>
          <w:bCs/>
          <w:sz w:val="52"/>
          <w:szCs w:val="52"/>
        </w:rPr>
        <w:t>研 究 生 课 程 论 文</w:t>
      </w:r>
    </w:p>
    <w:p w14:paraId="7135CDB1">
      <w:pPr>
        <w:jc w:val="center"/>
        <w:rPr>
          <w:rFonts w:ascii="仿宋" w:hAnsi="仿宋" w:eastAsia="仿宋"/>
          <w:sz w:val="52"/>
          <w:szCs w:val="52"/>
        </w:rPr>
      </w:pPr>
      <w:r>
        <w:rPr>
          <w:rFonts w:ascii="仿宋" w:hAnsi="仿宋" w:eastAsia="仿宋"/>
          <w:sz w:val="52"/>
          <w:szCs w:val="52"/>
        </w:rPr>
        <w:t xml:space="preserve"> </w:t>
      </w:r>
    </w:p>
    <w:p w14:paraId="2CE13941">
      <w:pPr>
        <w:jc w:val="center"/>
        <w:rPr>
          <w:rFonts w:ascii="仿宋" w:hAnsi="仿宋" w:eastAsia="仿宋"/>
          <w:sz w:val="52"/>
          <w:szCs w:val="52"/>
        </w:rPr>
      </w:pPr>
      <w:r>
        <w:rPr>
          <w:rFonts w:hint="eastAsia" w:ascii="仿宋" w:hAnsi="仿宋" w:eastAsia="仿宋"/>
          <w:sz w:val="52"/>
          <w:szCs w:val="52"/>
        </w:rPr>
        <w:t xml:space="preserve"> </w:t>
      </w:r>
    </w:p>
    <w:tbl>
      <w:tblPr>
        <w:tblStyle w:val="3"/>
        <w:tblW w:w="736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5523"/>
      </w:tblGrid>
      <w:tr w14:paraId="1A868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3" w:type="dxa"/>
            <w:tcBorders>
              <w:top w:val="single" w:color="auto" w:sz="4" w:space="0"/>
              <w:left w:val="single" w:color="auto" w:sz="4" w:space="0"/>
              <w:bottom w:val="single" w:color="auto" w:sz="4" w:space="0"/>
              <w:right w:val="single" w:color="auto" w:sz="4" w:space="0"/>
            </w:tcBorders>
            <w:vAlign w:val="center"/>
          </w:tcPr>
          <w:p w14:paraId="3715B5F1">
            <w:pPr>
              <w:rPr>
                <w:rFonts w:ascii="仿宋" w:hAnsi="仿宋" w:eastAsia="仿宋"/>
                <w:sz w:val="28"/>
                <w:szCs w:val="28"/>
              </w:rPr>
            </w:pPr>
            <w:r>
              <w:rPr>
                <w:rFonts w:hint="eastAsia" w:ascii="仿宋" w:hAnsi="仿宋" w:eastAsia="仿宋"/>
                <w:sz w:val="28"/>
                <w:szCs w:val="28"/>
              </w:rPr>
              <w:t>论文题目：</w:t>
            </w:r>
          </w:p>
        </w:tc>
        <w:tc>
          <w:tcPr>
            <w:tcW w:w="5523" w:type="dxa"/>
            <w:tcBorders>
              <w:top w:val="single" w:color="auto" w:sz="4" w:space="0"/>
              <w:left w:val="single" w:color="auto" w:sz="4" w:space="0"/>
              <w:bottom w:val="single" w:color="auto" w:sz="4" w:space="0"/>
              <w:right w:val="single" w:color="auto" w:sz="4" w:space="0"/>
            </w:tcBorders>
            <w:vAlign w:val="center"/>
          </w:tcPr>
          <w:p w14:paraId="534804BA">
            <w:pPr>
              <w:rPr>
                <w:rFonts w:hint="default" w:ascii="仿宋" w:hAnsi="仿宋" w:eastAsia="仿宋"/>
                <w:sz w:val="24"/>
                <w:szCs w:val="24"/>
                <w:lang w:val="en-US" w:eastAsia="zh-CN"/>
              </w:rPr>
            </w:pPr>
            <w:r>
              <w:rPr>
                <w:rFonts w:hint="eastAsia" w:ascii="仿宋" w:hAnsi="仿宋" w:eastAsia="仿宋"/>
                <w:sz w:val="24"/>
                <w:szCs w:val="24"/>
                <w:lang w:val="en-US" w:eastAsia="zh-CN"/>
              </w:rPr>
              <w:t>人工智能技术在识别甲骨文中的应用研究</w:t>
            </w:r>
          </w:p>
        </w:tc>
      </w:tr>
      <w:tr w14:paraId="50EB8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3" w:type="dxa"/>
            <w:tcBorders>
              <w:top w:val="single" w:color="auto" w:sz="4" w:space="0"/>
              <w:left w:val="single" w:color="auto" w:sz="4" w:space="0"/>
              <w:bottom w:val="single" w:color="auto" w:sz="4" w:space="0"/>
              <w:right w:val="single" w:color="auto" w:sz="4" w:space="0"/>
            </w:tcBorders>
            <w:vAlign w:val="center"/>
          </w:tcPr>
          <w:p w14:paraId="19F07489">
            <w:pPr>
              <w:rPr>
                <w:rFonts w:hint="eastAsia" w:ascii="仿宋" w:hAnsi="仿宋" w:eastAsia="仿宋"/>
                <w:sz w:val="28"/>
                <w:szCs w:val="28"/>
              </w:rPr>
            </w:pPr>
            <w:r>
              <w:rPr>
                <w:rFonts w:hint="eastAsia" w:ascii="仿宋" w:hAnsi="仿宋" w:eastAsia="仿宋"/>
                <w:sz w:val="28"/>
                <w:szCs w:val="28"/>
              </w:rPr>
              <w:t>修读课程：</w:t>
            </w:r>
          </w:p>
        </w:tc>
        <w:tc>
          <w:tcPr>
            <w:tcW w:w="5523" w:type="dxa"/>
            <w:tcBorders>
              <w:top w:val="single" w:color="auto" w:sz="4" w:space="0"/>
              <w:left w:val="single" w:color="auto" w:sz="4" w:space="0"/>
              <w:bottom w:val="single" w:color="auto" w:sz="4" w:space="0"/>
              <w:right w:val="single" w:color="auto" w:sz="4" w:space="0"/>
            </w:tcBorders>
            <w:vAlign w:val="center"/>
          </w:tcPr>
          <w:p w14:paraId="2C06F8EC">
            <w:pPr>
              <w:rPr>
                <w:rFonts w:hint="default" w:ascii="仿宋" w:hAnsi="仿宋" w:eastAsia="仿宋"/>
                <w:sz w:val="24"/>
                <w:szCs w:val="24"/>
                <w:lang w:val="en-US" w:eastAsia="zh-CN"/>
              </w:rPr>
            </w:pPr>
            <w:r>
              <w:rPr>
                <w:rFonts w:hint="eastAsia" w:ascii="仿宋" w:hAnsi="仿宋" w:eastAsia="仿宋"/>
                <w:sz w:val="24"/>
                <w:szCs w:val="24"/>
                <w:lang w:val="en-US" w:eastAsia="zh-CN"/>
              </w:rPr>
              <w:t>AI考古</w:t>
            </w:r>
          </w:p>
        </w:tc>
      </w:tr>
      <w:tr w14:paraId="1450C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3" w:type="dxa"/>
            <w:tcBorders>
              <w:top w:val="single" w:color="auto" w:sz="4" w:space="0"/>
              <w:left w:val="single" w:color="auto" w:sz="4" w:space="0"/>
              <w:bottom w:val="single" w:color="auto" w:sz="4" w:space="0"/>
              <w:right w:val="single" w:color="auto" w:sz="4" w:space="0"/>
            </w:tcBorders>
            <w:vAlign w:val="center"/>
          </w:tcPr>
          <w:p w14:paraId="428C4E9F">
            <w:pPr>
              <w:rPr>
                <w:rFonts w:hint="eastAsia" w:ascii="仿宋" w:hAnsi="仿宋" w:eastAsia="仿宋"/>
                <w:sz w:val="28"/>
                <w:szCs w:val="28"/>
              </w:rPr>
            </w:pPr>
            <w:r>
              <w:rPr>
                <w:rFonts w:hint="eastAsia" w:ascii="仿宋" w:hAnsi="仿宋" w:eastAsia="仿宋"/>
                <w:sz w:val="28"/>
                <w:szCs w:val="28"/>
              </w:rPr>
              <w:t>选课学期：</w:t>
            </w:r>
          </w:p>
        </w:tc>
        <w:tc>
          <w:tcPr>
            <w:tcW w:w="5523" w:type="dxa"/>
            <w:tcBorders>
              <w:top w:val="single" w:color="auto" w:sz="4" w:space="0"/>
              <w:left w:val="single" w:color="auto" w:sz="4" w:space="0"/>
              <w:bottom w:val="single" w:color="auto" w:sz="4" w:space="0"/>
              <w:right w:val="single" w:color="auto" w:sz="4" w:space="0"/>
            </w:tcBorders>
            <w:vAlign w:val="center"/>
          </w:tcPr>
          <w:p w14:paraId="3EC19A04">
            <w:pPr>
              <w:rPr>
                <w:rFonts w:hint="default" w:ascii="仿宋" w:hAnsi="仿宋" w:eastAsia="仿宋"/>
                <w:sz w:val="24"/>
                <w:szCs w:val="24"/>
                <w:lang w:val="en-US" w:eastAsia="zh-CN"/>
              </w:rPr>
            </w:pPr>
            <w:r>
              <w:rPr>
                <w:rFonts w:hint="eastAsia" w:ascii="仿宋" w:hAnsi="仿宋" w:eastAsia="仿宋"/>
                <w:sz w:val="24"/>
                <w:szCs w:val="24"/>
                <w:lang w:val="en-US" w:eastAsia="zh-CN"/>
              </w:rPr>
              <w:t>2025-2026学期第一学期</w:t>
            </w:r>
          </w:p>
        </w:tc>
      </w:tr>
      <w:tr w14:paraId="3C664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3" w:type="dxa"/>
            <w:tcBorders>
              <w:top w:val="single" w:color="auto" w:sz="4" w:space="0"/>
              <w:left w:val="single" w:color="auto" w:sz="4" w:space="0"/>
              <w:bottom w:val="single" w:color="auto" w:sz="4" w:space="0"/>
              <w:right w:val="single" w:color="auto" w:sz="4" w:space="0"/>
            </w:tcBorders>
            <w:vAlign w:val="center"/>
          </w:tcPr>
          <w:p w14:paraId="584322CA">
            <w:pPr>
              <w:rPr>
                <w:rFonts w:hint="eastAsia" w:ascii="仿宋" w:hAnsi="仿宋" w:eastAsia="仿宋"/>
                <w:sz w:val="28"/>
                <w:szCs w:val="28"/>
              </w:rPr>
            </w:pPr>
            <w:r>
              <w:rPr>
                <w:rFonts w:hint="eastAsia" w:ascii="仿宋" w:hAnsi="仿宋" w:eastAsia="仿宋"/>
                <w:sz w:val="28"/>
                <w:szCs w:val="28"/>
              </w:rPr>
              <w:t>选课学生：</w:t>
            </w:r>
          </w:p>
        </w:tc>
        <w:tc>
          <w:tcPr>
            <w:tcW w:w="5523" w:type="dxa"/>
            <w:tcBorders>
              <w:top w:val="single" w:color="auto" w:sz="4" w:space="0"/>
              <w:left w:val="single" w:color="auto" w:sz="4" w:space="0"/>
              <w:bottom w:val="single" w:color="auto" w:sz="4" w:space="0"/>
              <w:right w:val="single" w:color="auto" w:sz="4" w:space="0"/>
            </w:tcBorders>
            <w:vAlign w:val="center"/>
          </w:tcPr>
          <w:p w14:paraId="0680B09A">
            <w:pPr>
              <w:rPr>
                <w:rFonts w:hint="default" w:ascii="仿宋" w:hAnsi="仿宋" w:eastAsia="仿宋"/>
                <w:color w:val="BFBFBF" w:themeColor="background1" w:themeShade="BF"/>
                <w:sz w:val="24"/>
                <w:szCs w:val="24"/>
                <w:lang w:val="en-US" w:eastAsia="zh-CN"/>
              </w:rPr>
            </w:pPr>
            <w:r>
              <w:rPr>
                <w:rFonts w:hint="eastAsia" w:ascii="仿宋" w:hAnsi="仿宋" w:eastAsia="仿宋"/>
                <w:color w:val="000000" w:themeColor="text1"/>
                <w:sz w:val="24"/>
                <w:szCs w:val="24"/>
                <w:lang w:val="en-US" w:eastAsia="zh-CN"/>
                <w14:textFill>
                  <w14:solidFill>
                    <w14:schemeClr w14:val="tx1"/>
                  </w14:solidFill>
                </w14:textFill>
              </w:rPr>
              <w:t>李泽凯（25250000014）</w:t>
            </w:r>
          </w:p>
        </w:tc>
      </w:tr>
      <w:tr w14:paraId="05FF8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3" w:type="dxa"/>
            <w:tcBorders>
              <w:top w:val="single" w:color="auto" w:sz="4" w:space="0"/>
              <w:left w:val="single" w:color="auto" w:sz="4" w:space="0"/>
              <w:bottom w:val="single" w:color="auto" w:sz="4" w:space="0"/>
              <w:right w:val="single" w:color="auto" w:sz="4" w:space="0"/>
            </w:tcBorders>
            <w:vAlign w:val="center"/>
          </w:tcPr>
          <w:p w14:paraId="5876D585">
            <w:pPr>
              <w:rPr>
                <w:rFonts w:hint="eastAsia" w:ascii="仿宋" w:hAnsi="仿宋" w:eastAsia="仿宋"/>
                <w:sz w:val="28"/>
                <w:szCs w:val="28"/>
              </w:rPr>
            </w:pPr>
            <w:r>
              <w:rPr>
                <w:rFonts w:hint="eastAsia" w:ascii="仿宋" w:hAnsi="仿宋" w:eastAsia="仿宋"/>
                <w:sz w:val="28"/>
                <w:szCs w:val="28"/>
              </w:rPr>
              <w:t>完成日期：</w:t>
            </w:r>
          </w:p>
        </w:tc>
        <w:tc>
          <w:tcPr>
            <w:tcW w:w="5523" w:type="dxa"/>
            <w:tcBorders>
              <w:top w:val="single" w:color="auto" w:sz="4" w:space="0"/>
              <w:left w:val="single" w:color="auto" w:sz="4" w:space="0"/>
              <w:bottom w:val="single" w:color="auto" w:sz="4" w:space="0"/>
              <w:right w:val="single" w:color="auto" w:sz="4" w:space="0"/>
            </w:tcBorders>
            <w:vAlign w:val="center"/>
          </w:tcPr>
          <w:p w14:paraId="23BF750C">
            <w:pPr>
              <w:rPr>
                <w:rFonts w:hint="default" w:ascii="仿宋" w:hAnsi="仿宋" w:eastAsia="仿宋"/>
                <w:sz w:val="24"/>
                <w:szCs w:val="24"/>
                <w:lang w:val="en-US" w:eastAsia="zh-CN"/>
              </w:rPr>
            </w:pPr>
            <w:r>
              <w:rPr>
                <w:rFonts w:hint="eastAsia" w:ascii="仿宋" w:hAnsi="仿宋" w:eastAsia="仿宋"/>
                <w:sz w:val="24"/>
                <w:szCs w:val="24"/>
                <w:lang w:val="en-US" w:eastAsia="zh-CN"/>
              </w:rPr>
              <w:t>2025.1.6</w:t>
            </w:r>
          </w:p>
        </w:tc>
      </w:tr>
    </w:tbl>
    <w:p w14:paraId="7BE5669F">
      <w:pPr>
        <w:jc w:val="center"/>
        <w:rPr>
          <w:rFonts w:ascii="仿宋" w:hAnsi="仿宋" w:eastAsia="仿宋"/>
          <w:sz w:val="52"/>
          <w:szCs w:val="52"/>
        </w:rPr>
      </w:pPr>
    </w:p>
    <w:p w14:paraId="0C307D9B">
      <w:pPr>
        <w:jc w:val="center"/>
        <w:rPr>
          <w:rFonts w:ascii="仿宋" w:hAnsi="仿宋" w:eastAsia="仿宋"/>
          <w:sz w:val="52"/>
          <w:szCs w:val="52"/>
        </w:rPr>
      </w:pPr>
      <w:r>
        <w:rPr>
          <w:rFonts w:hint="eastAsia" w:ascii="仿宋" w:hAnsi="仿宋" w:eastAsia="仿宋"/>
          <w:sz w:val="52"/>
          <w:szCs w:val="52"/>
        </w:rPr>
        <w:t xml:space="preserve"> </w:t>
      </w:r>
    </w:p>
    <w:p w14:paraId="015832E5">
      <w:pPr>
        <w:jc w:val="center"/>
        <w:rPr>
          <w:rFonts w:ascii="仿宋" w:hAnsi="仿宋" w:eastAsia="仿宋"/>
        </w:rPr>
      </w:pPr>
    </w:p>
    <w:p w14:paraId="2CE5BD7F">
      <w:pPr>
        <w:spacing w:line="360" w:lineRule="auto"/>
        <w:rPr>
          <w:rFonts w:ascii="Times New Roman" w:hAnsi="Times New Roman" w:eastAsia="仿宋" w:cs="Times New Roman"/>
          <w:sz w:val="24"/>
          <w:szCs w:val="24"/>
        </w:rPr>
      </w:pPr>
    </w:p>
    <w:p w14:paraId="4EF7587F">
      <w:pPr>
        <w:spacing w:line="360" w:lineRule="auto"/>
        <w:rPr>
          <w:rFonts w:ascii="Times New Roman" w:hAnsi="Times New Roman" w:eastAsia="仿宋" w:cs="Times New Roman"/>
          <w:sz w:val="24"/>
          <w:szCs w:val="24"/>
        </w:rPr>
      </w:pPr>
    </w:p>
    <w:p w14:paraId="3CFE7731">
      <w:pPr>
        <w:spacing w:line="360" w:lineRule="auto"/>
        <w:rPr>
          <w:rFonts w:ascii="Times New Roman" w:hAnsi="Times New Roman" w:eastAsia="仿宋" w:cs="Times New Roman"/>
          <w:sz w:val="24"/>
          <w:szCs w:val="24"/>
        </w:rPr>
      </w:pPr>
    </w:p>
    <w:p w14:paraId="7A78BC87">
      <w:pPr>
        <w:spacing w:line="360" w:lineRule="auto"/>
        <w:rPr>
          <w:rFonts w:ascii="Times New Roman" w:hAnsi="Times New Roman" w:eastAsia="仿宋" w:cs="Times New Roman"/>
          <w:sz w:val="24"/>
          <w:szCs w:val="24"/>
        </w:rPr>
      </w:pPr>
    </w:p>
    <w:p w14:paraId="412BF801">
      <w:pPr>
        <w:spacing w:before="315" w:beforeLines="100" w:beforeAutospacing="0" w:after="315" w:afterLines="100" w:afterAutospacing="0" w:line="360" w:lineRule="auto"/>
        <w:jc w:val="center"/>
        <w:rPr>
          <w:rFonts w:hint="eastAsia" w:ascii="宋体" w:hAnsi="宋体" w:eastAsia="宋体" w:cs="宋体"/>
          <w:b/>
          <w:bCs/>
          <w:sz w:val="36"/>
          <w:szCs w:val="36"/>
          <w:lang w:val="en-US" w:eastAsia="zh-CN"/>
        </w:rPr>
      </w:pPr>
      <w:r>
        <w:rPr>
          <w:rFonts w:hint="eastAsia" w:ascii="宋体" w:hAnsi="宋体" w:eastAsia="宋体" w:cs="宋体"/>
          <w:b/>
          <w:bCs/>
          <w:sz w:val="36"/>
          <w:szCs w:val="36"/>
          <w:lang w:val="en-US" w:eastAsia="zh-CN"/>
        </w:rPr>
        <w:t>人工智能技术在识别甲骨文中的应用研究</w:t>
      </w:r>
    </w:p>
    <w:p w14:paraId="0ECF1BAD">
      <w:pPr>
        <w:numPr>
          <w:ilvl w:val="0"/>
          <w:numId w:val="0"/>
        </w:numPr>
        <w:spacing w:line="360" w:lineRule="auto"/>
        <w:ind w:leftChars="0"/>
        <w:jc w:val="left"/>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摘要</w:t>
      </w:r>
      <w:r>
        <w:rPr>
          <w:rFonts w:hint="eastAsia" w:ascii="宋体" w:hAnsi="宋体" w:eastAsia="宋体" w:cs="宋体"/>
          <w:b w:val="0"/>
          <w:bCs w:val="0"/>
          <w:sz w:val="24"/>
          <w:szCs w:val="24"/>
          <w:lang w:val="en-US" w:eastAsia="zh-CN"/>
        </w:rPr>
        <w:t>：甲骨文作为中国最早的成熟文字系统，距今已有 3500 多年历史，是研究古代文明的重要载体。然而，甲骨文识别面临着书写变异大、数据稀缺、图像质量低等严峻挑战。近年来，人工智能技术在甲骨文识别领域展现出巨大潜力，为这一古老学科注入了新的活力。本文系统综述了人工智能技术在甲骨文识别中的应用研究进展，重点分析了深度学习方法与混合方法的技术特点和应用效果。研究表明，深度学习技术已成为甲骨文识别的主流方法，其中改进的VGGNet模型在特定数据集上达到了 99.5%的识别准确率，基于Transformer的方法已在HUST-OBS数据集上实现了97.2%的准确率。尽管取得了显著进展，但甲骨文识别仍面临数据不平衡、低质量图像处理、模型泛化能力等现实困境。</w:t>
      </w:r>
    </w:p>
    <w:p w14:paraId="22C50869">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242F2FF8">
      <w:pPr>
        <w:numPr>
          <w:ilvl w:val="0"/>
          <w:numId w:val="0"/>
        </w:numPr>
        <w:spacing w:line="360" w:lineRule="auto"/>
        <w:ind w:leftChars="0"/>
        <w:jc w:val="left"/>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关键词：</w:t>
      </w:r>
      <w:r>
        <w:rPr>
          <w:rFonts w:hint="eastAsia" w:ascii="宋体" w:hAnsi="宋体" w:eastAsia="宋体" w:cs="宋体"/>
          <w:b w:val="0"/>
          <w:bCs w:val="0"/>
          <w:sz w:val="24"/>
          <w:szCs w:val="24"/>
          <w:lang w:val="en-US" w:eastAsia="zh-CN"/>
        </w:rPr>
        <w:t>人工智能；甲骨文识别；深度学习；计算机视觉</w:t>
      </w:r>
    </w:p>
    <w:p w14:paraId="687B0DA7">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5F1AAEC4">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2462582A">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78E19606">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0E6A79E2">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435CF8D1">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3EDC1791">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3CC716B9">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1EF7F558">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06C11E62">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56201BB5">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1064BE66">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52B70244">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6933E217">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54BD7B41">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3EE72880">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60A10AD5">
      <w:pPr>
        <w:numPr>
          <w:ilvl w:val="0"/>
          <w:numId w:val="0"/>
        </w:numPr>
        <w:spacing w:line="360" w:lineRule="auto"/>
        <w:ind w:leftChars="0"/>
        <w:jc w:val="left"/>
        <w:rPr>
          <w:rFonts w:hint="eastAsia" w:ascii="宋体" w:hAnsi="宋体" w:eastAsia="宋体" w:cs="宋体"/>
          <w:b/>
          <w:bCs/>
          <w:sz w:val="36"/>
          <w:szCs w:val="36"/>
          <w:lang w:val="en-US" w:eastAsia="zh-CN"/>
        </w:rPr>
      </w:pPr>
      <w:r>
        <w:rPr>
          <w:rFonts w:hint="eastAsia" w:ascii="宋体" w:hAnsi="宋体" w:eastAsia="宋体" w:cs="宋体"/>
          <w:b/>
          <w:bCs/>
          <w:sz w:val="36"/>
          <w:szCs w:val="36"/>
          <w:lang w:val="en-US" w:eastAsia="zh-CN"/>
        </w:rPr>
        <w:t>1. 引言</w:t>
      </w:r>
    </w:p>
    <w:p w14:paraId="217A1FEE">
      <w:pPr>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甲骨文作为中国乃至东亚地区已知最早的成熟文字系统，距今已有约 3500 年历史，是商代晚期王室用于占卜记事而刻在龟甲和兽骨上的文字。这些珍贵的文字记录承载着古代中国的历史文化信息，对研究汉字起源、古代社会结构、宗教信仰等具有不可替代的价值。自19世纪末首次发现以来，考古学家已发现约 4500个甲骨文字符类，但仅有约2200个已被映射到现代汉字。这一现状凸显了甲骨文识别研究的紧迫性和重要性。</w:t>
      </w:r>
    </w:p>
    <w:p w14:paraId="3BE237CA">
      <w:pPr>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传统的甲骨文识别主要依赖专家的人工解读，这种方法不仅耗时耗力，而且对专业知识要求极高，限制了研究的广度和深度。随着人工智能技术的快速发展，特别是深度学习在计算机视觉领域的突破性进展，研究者们开始探索将 AI 技术应用于甲骨文识别，以期提高识别效率、降低人工成本，并为非专业人士提供理解和学习甲骨文的工具。</w:t>
      </w:r>
    </w:p>
    <w:p w14:paraId="181725C8">
      <w:pPr>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研究旨在系统梳理人工智能技术在甲骨文识别中的应用现状，分析不同技术方法的优势与局限性，探讨当前面临的现实困境，并展望未来发展趋势。通过对近年来相关研究文献的综合分析，本研究将为甲骨文识别技术的进一步发展提供理论参考。</w:t>
      </w:r>
    </w:p>
    <w:p w14:paraId="3186850F">
      <w:pPr>
        <w:numPr>
          <w:ilvl w:val="0"/>
          <w:numId w:val="0"/>
        </w:numPr>
        <w:spacing w:afterAutospacing="0" w:line="360" w:lineRule="auto"/>
        <w:ind w:leftChars="0"/>
        <w:jc w:val="left"/>
        <w:rPr>
          <w:rFonts w:hint="eastAsia" w:ascii="宋体" w:hAnsi="宋体" w:eastAsia="宋体" w:cs="宋体"/>
          <w:b w:val="0"/>
          <w:bCs w:val="0"/>
          <w:sz w:val="24"/>
          <w:szCs w:val="24"/>
          <w:lang w:val="en-US" w:eastAsia="zh-CN"/>
        </w:rPr>
      </w:pPr>
    </w:p>
    <w:p w14:paraId="59B7DEE9">
      <w:pPr>
        <w:numPr>
          <w:ilvl w:val="0"/>
          <w:numId w:val="0"/>
        </w:numPr>
        <w:spacing w:before="159" w:beforeLines="50" w:beforeAutospacing="0" w:after="159" w:afterLines="50" w:afterAutospacing="0" w:line="360" w:lineRule="auto"/>
        <w:ind w:leftChars="0"/>
        <w:jc w:val="left"/>
        <w:rPr>
          <w:rFonts w:hint="eastAsia" w:ascii="宋体" w:hAnsi="宋体" w:eastAsia="宋体" w:cs="宋体"/>
          <w:b/>
          <w:bCs/>
          <w:i w:val="0"/>
          <w:iCs w:val="0"/>
          <w:sz w:val="36"/>
          <w:szCs w:val="36"/>
          <w:lang w:val="en-US" w:eastAsia="zh-CN"/>
        </w:rPr>
      </w:pPr>
      <w:r>
        <w:rPr>
          <w:rFonts w:hint="eastAsia" w:ascii="宋体" w:hAnsi="宋体" w:eastAsia="宋体" w:cs="宋体"/>
          <w:b/>
          <w:bCs/>
          <w:i w:val="0"/>
          <w:iCs w:val="0"/>
          <w:sz w:val="36"/>
          <w:szCs w:val="36"/>
          <w:lang w:val="en-US" w:eastAsia="zh-CN"/>
        </w:rPr>
        <w:t>2. 人工智能技术在识别甲骨文字中的应用</w:t>
      </w:r>
    </w:p>
    <w:p w14:paraId="4B6445C3">
      <w:pPr>
        <w:numPr>
          <w:ilvl w:val="0"/>
          <w:numId w:val="0"/>
        </w:numPr>
        <w:spacing w:beforeAutospacing="0" w:after="159" w:afterLines="50" w:afterAutospacing="0" w:line="360" w:lineRule="auto"/>
        <w:ind w:leftChars="0"/>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2.1 深度学习方法</w:t>
      </w:r>
    </w:p>
    <w:p w14:paraId="7A69464F">
      <w:pPr>
        <w:numPr>
          <w:ilvl w:val="0"/>
          <w:numId w:val="0"/>
        </w:numPr>
        <w:spacing w:beforeAutospacing="0"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深度学习技术已成为甲骨文识别领域的主流方法，其强大的特征提取和模式识别能力为解决甲骨文识别难题提供了有效途径。</w:t>
      </w:r>
    </w:p>
    <w:p w14:paraId="3243FB6A">
      <w:pPr>
        <w:numPr>
          <w:ilvl w:val="0"/>
          <w:numId w:val="0"/>
        </w:numPr>
        <w:spacing w:line="360" w:lineRule="auto"/>
        <w:ind w:leftChars="0"/>
        <w:jc w:val="left"/>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2.1.1 卷积神经网络（CNN）</w:t>
      </w:r>
    </w:p>
    <w:p w14:paraId="0B6CD3E2">
      <w:pPr>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卷积神经网络（Convolutional Neural Networks, CNN）是目前应用最广泛的深度学习架构之一。在甲骨文识别中，CNN 通过卷积层、池化层和全连接层等结构，能够自动学习甲骨文字符的特征，对不同形态的甲骨文字符具有更强的适应性</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_Ref10280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[1]</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w:t>
      </w:r>
    </w:p>
    <w:p w14:paraId="7B7D750C">
      <w:pPr>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Fu等人基于LeNet、AlexNet和VGGNet三种典型的CNN架构，通过调整网络参数和修改网络层，提出了十种改进模型用于甲骨文识别。实验结果表明，基于VGGNet的V16模型表现最优，在 OBI-100 数据集（包含100个类别，128000 多个样本）上达到了99.5%的识别准确率。该研究还发现，数据增强策略对提高识别性能至关重要，通过旋转、缩放等变换，将原始4748个样本扩充到128196 个样本，使最小类别包含约540张图像，最大类别超过3600张图像</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_Ref10234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[2]</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w:t>
      </w:r>
    </w:p>
    <w:p w14:paraId="7BD040EC">
      <w:pPr>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此外，针对甲骨文字形细节复杂、类间差异细微以及类别分布不均衡等问题，有研究者开始引入生成式数据增强与更鲁棒的特征学习策略。例如，Huang等提出 Adaptive Glyph Texture GAN（AGTGAN），在包含5491类、44868 张图像的 SOC5519 数据集上，通过纹理生成与对抗学习提升识别性能，从而改善小样本类别的可辨识性</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_Ref10364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[3]</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w:t>
      </w:r>
    </w:p>
    <w:p w14:paraId="440EF333">
      <w:pPr>
        <w:numPr>
          <w:ilvl w:val="0"/>
          <w:numId w:val="0"/>
        </w:numPr>
        <w:spacing w:afterAutospacing="0"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在实际应用中，CNN 架构在处理不同类型的甲骨文图像时展现出良好的适应性。通过多层卷积和池化操作，CNN 能够提取甲骨文字符的局部特征和全局特征，有效应对甲骨文书写风格的多样性。同时，通过反向传播算法的训练，CNN 能够自动优化网络参数，提高识别精度。</w:t>
      </w:r>
    </w:p>
    <w:p w14:paraId="1E95736C">
      <w:pPr>
        <w:numPr>
          <w:ilvl w:val="0"/>
          <w:numId w:val="0"/>
        </w:numPr>
        <w:spacing w:beforeAutospacing="0" w:afterAutospacing="0" w:line="240" w:lineRule="auto"/>
        <w:ind w:leftChars="0"/>
        <w:jc w:val="left"/>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2.1.2 循环神经网络（RNN）及其变体</w:t>
      </w:r>
    </w:p>
    <w:p w14:paraId="3CA4DB65">
      <w:pPr>
        <w:numPr>
          <w:ilvl w:val="0"/>
          <w:numId w:val="0"/>
        </w:numPr>
        <w:spacing w:beforeAutospacing="0"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循环神经网络（Recurrent Neural Networks, RNN）及其变体在处理序列数据方面具有独特优势，特别适用于甲骨文字符序列的识别任务。基于RNN的模型，如长短期记忆网络（LSTM）和门控循环单元（GRU），能够自动学习文本中的语义特征和上下文信息，有效处理文本的序列性</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_Ref10280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[1]</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w:t>
      </w:r>
    </w:p>
    <w:p w14:paraId="515A2267">
      <w:pPr>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在甲骨文识别研究中，RNN 主要用于处理连续的甲骨文序列，如整段甲骨文文本的识别。通过将甲骨文字符序列作为输入，RNN 能够捕捉字符之间的时序关系和语义关联，提高整体识别的准确性。特别是在处理破损或模糊的甲骨文字符时，RNN 的上下文建模能力能够通过前后文信息推断缺失或难以识别的字符。</w:t>
      </w:r>
    </w:p>
    <w:p w14:paraId="3A3D2A73">
      <w:pPr>
        <w:numPr>
          <w:ilvl w:val="0"/>
          <w:numId w:val="0"/>
        </w:numPr>
        <w:spacing w:line="360" w:lineRule="auto"/>
        <w:ind w:leftChars="0"/>
        <w:jc w:val="left"/>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2.1.3 Transformer 架构</w:t>
      </w:r>
    </w:p>
    <w:p w14:paraId="42994B54">
      <w:pPr>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Vision Transformer（ViT）是近年来兴起的基于Transformer架构的视觉识别方法，它通过自注意力机制捕获局部和全局图像特征，在许多图像识别任务中表现优于传统 CNN</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_Ref10570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[4]</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。在甲骨文识别领域，Transformer 架构的应用展现出巨大潜力。</w:t>
      </w:r>
    </w:p>
    <w:p w14:paraId="33F143C5">
      <w:pPr>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Zheng等人提出了一种基于改进Swin-Transformer的古汉字识别模型，该模型包含四个阶段的线性嵌入和Swin-Transformer块，每个块都辅以CoT块来增强局部特征提取。实验结果显示，在包含9233个不同古汉字的大规模数据集上，该方法达到了87.25%的最高准确率和95.81%的第五高准确率。通过可视化模型注意力机制，可以观察到该模型能够捕获古汉字的形态特征</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_Ref10642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[5]</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Chen等人设计了一种基于Transformer的甲骨文识别模型（OBC-VIT），专门用于解决长尾问题和开集识别问题。该模型在HUST-OBS数据集上训练，达到了97.2%的准确率，是目前所有方法中的最高水平。研究还提出了基于生成对抗网络的图像复原技术（OBC-Trans-GAN），将扫描版甲骨文转换为更清晰的手写版本，进一步简化了识别任务</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_Ref10691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[6]</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w:t>
      </w:r>
    </w:p>
    <w:p w14:paraId="142F69F0">
      <w:pPr>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Transformer架构的优势在于其强大的全局建模能力和自注意力机制，能够更好地捕捉甲骨文字符的整体结构特征。与传统CNN相比，Transformer能够直接建模不同位置之间的依赖关系，而不需要通过多层卷积来逐步扩大感受野，这对于识别结构复杂、形态多变的甲骨文字符具有重要意义。</w:t>
      </w:r>
    </w:p>
    <w:p w14:paraId="198AABC0">
      <w:pPr>
        <w:numPr>
          <w:ilvl w:val="0"/>
          <w:numId w:val="0"/>
        </w:numPr>
        <w:spacing w:line="360" w:lineRule="auto"/>
        <w:ind w:leftChars="0"/>
        <w:jc w:val="left"/>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2.1.4 YOLO目标检测</w:t>
      </w:r>
    </w:p>
    <w:p w14:paraId="70898CEA">
      <w:pPr>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YOLO（You Only Look Once）是一种高效的实时目标检测算法，在甲骨文检测任务中也得到了广泛应用。YOLO将目标检测视为回归问题，能够在单次推理中预测图像中多个目标的边界框和类别标签，具有速度快、精度高的特点。</w:t>
      </w:r>
    </w:p>
    <w:p w14:paraId="1C2427E5">
      <w:pPr>
        <w:numPr>
          <w:ilvl w:val="0"/>
          <w:numId w:val="0"/>
        </w:numPr>
        <w:spacing w:line="360" w:lineRule="auto"/>
        <w:ind w:left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在甲骨文识别研究中，YOLO主要用于甲骨文字符的定位和检测。Zhang 等人提出了一种基于YOLOv5的甲骨文识别算法，集成了BiFPN-SDI、C3-DAttention和Detect_Efficient模块来显著增强检测性能。BiFPN-SDI 模块实现了更精确的特征融合和注意力机制，提高了小目标的检测能力；C3-DAttention模块结合了通道和空间注意力机制，增强了深度卷积神经网络中的特征提取；Detect_Efficient 模块进一步提高了模型的检测和识别能力。实验结果表明，改进后的方法在精度上提高了0.7%，召回率提高了1.1%，mAP50 提高了0.3%，同时模型参数减少到 1,009,668，处理速度提高到90fps</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_Ref10926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[7]</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w:t>
      </w:r>
    </w:p>
    <w:p w14:paraId="1096E62B">
      <w:pPr>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除YOLOv5外，近期也有研究将YOLO系列进一步改造用于甲骨文拓片的字符检测与定位。例如，Zhen等在YOLOv8的基础上，通过特征融合与检测头改进以提升对小目标与复杂背景的鲁棒性，为后续字符级识别提供更稳定的候选区域</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_Ref10985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[8]</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w:t>
      </w:r>
    </w:p>
    <w:p w14:paraId="39D31E7F">
      <w:pPr>
        <w:numPr>
          <w:ilvl w:val="0"/>
          <w:numId w:val="0"/>
        </w:numPr>
        <w:spacing w:afterAutospacing="0"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YOLO在甲骨文检测中的优势在于其实时性和端到端的检测能力。传统的甲骨文识别通常需要先进行字符分割，再进行分类识别，而YOLO能够直接输出字符的位置和类别，大大简化了处理流程。特别是在处理包含大量字符的甲骨拓片时，YOLO的高效性更加明显。</w:t>
      </w:r>
    </w:p>
    <w:p w14:paraId="1A2AB3C4">
      <w:pPr>
        <w:numPr>
          <w:ilvl w:val="0"/>
          <w:numId w:val="0"/>
        </w:numPr>
        <w:spacing w:before="159" w:beforeLines="50" w:beforeAutospacing="0" w:after="159" w:afterLines="50" w:afterAutospacing="0" w:line="360" w:lineRule="auto"/>
        <w:ind w:leftChars="0"/>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2.3 混合方法</w:t>
      </w:r>
    </w:p>
    <w:p w14:paraId="5401278D">
      <w:pPr>
        <w:numPr>
          <w:ilvl w:val="0"/>
          <w:numId w:val="0"/>
        </w:numPr>
        <w:spacing w:beforeAutospacing="0"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为了充分发挥不同技术的优势，研究者们提出了多种混合方法，将深度学习与传统方法相结合，或融合多种深度学习技术，以提高甲骨文识别的性能。</w:t>
      </w:r>
    </w:p>
    <w:p w14:paraId="6F4E62E6">
      <w:pPr>
        <w:numPr>
          <w:ilvl w:val="0"/>
          <w:numId w:val="0"/>
        </w:numPr>
        <w:spacing w:line="360" w:lineRule="auto"/>
        <w:ind w:leftChars="0"/>
        <w:jc w:val="left"/>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2.3.1 深度学习与传统方法结合</w:t>
      </w:r>
    </w:p>
    <w:p w14:paraId="36986261">
      <w:pPr>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ang等人提出了一种基于CycleGAN的数据增强方法，通过学习字形图像数据域和真实样本数据域之间的映射关系，生成更接近真实扫描风格的合成样本，以缓解训练数据不足与域差异带来的性能瓶颈。该方法在OBC306数据集上通过生成 185362个样本作为补充，显著提升了平均准确率与总体准确率</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_Ref11194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[9]</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_Ref11197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[10]</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w:t>
      </w:r>
    </w:p>
    <w:p w14:paraId="0E563AD7">
      <w:pPr>
        <w:numPr>
          <w:ilvl w:val="0"/>
          <w:numId w:val="0"/>
        </w:numPr>
        <w:spacing w:line="360" w:lineRule="auto"/>
        <w:ind w:left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另一种混合方法是将CNN特征提取与传统分类器相结合。例如，先使用 CNN 提取高级语义特征，然后将这些特征输入到SVM分类器中进行分类。这种方法的优势在于能够利 CNN强大的特征提取能力，同时避免了深度神经网络训练的复杂性。</w:t>
      </w:r>
    </w:p>
    <w:p w14:paraId="497B5227">
      <w:pPr>
        <w:numPr>
          <w:ilvl w:val="0"/>
          <w:numId w:val="0"/>
        </w:numPr>
        <w:spacing w:line="360" w:lineRule="auto"/>
        <w:ind w:leftChars="0"/>
        <w:jc w:val="left"/>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2.3.2 多模态融合方法</w:t>
      </w:r>
    </w:p>
    <w:p w14:paraId="5D3D574E">
      <w:pPr>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考虑到甲骨文识别的复杂性，研究者们开始探索多模态融合方法，将图像、文本和语义信息相结合，以提高识别性能。Qi等人提出了AncientGlyphNet，这是一个用于在复杂场景中检测古代汉字的高级深度学习框架。该框架引入了古代字符Haar小波变换下采样块（ACHaar），有效减少特征图的空间分辨率同时保留关键的古代字符特征。此外，还引入了字形焦点模块，利用注意力机制增强深度语义信息的处理，通过四路并行策略生成强调水平和垂直特征的古代字符特征图。实验结果表明，该方法在HUSAM-SinoCDCS数据集上准确率提高了 1.36-92.84%，召回率提高了2.24-85.61%，F1分数提高了1.84-89.08%</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_Ref11367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[11]</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w:t>
      </w:r>
    </w:p>
    <w:p w14:paraId="22663AF0">
      <w:pPr>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OracleSage是另一个多模态融合的例子，它通过跨模态知识融合实现对甲骨文的统一视觉—语言理解</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_Ref14574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[12]</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该系统整合了字形检测与分类算法、AI摹本生成与字形匹配技术、甲骨校重与结构化比对算法，以及融合图像、文字与语义的多模态推理能力。通过增强数据集的语义丰富性和语言粒度标注，为更高效、准确的人工智能赋能的甲骨文识别和破译奠定了基础。</w:t>
      </w:r>
    </w:p>
    <w:p w14:paraId="4F1C21A5">
      <w:pPr>
        <w:numPr>
          <w:ilvl w:val="0"/>
          <w:numId w:val="0"/>
        </w:numPr>
        <w:spacing w:line="360" w:lineRule="auto"/>
        <w:ind w:leftChars="0"/>
        <w:jc w:val="left"/>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2.3.3 无监督域适应方法</w:t>
      </w:r>
    </w:p>
    <w:p w14:paraId="0D37B156">
      <w:pPr>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由于真实扫描的甲骨文数据稀缺且标注困难，研究者们提出了多种无监督域适应方法，将从易获取的手写甲骨文数据中学到的知识迁移到扫描数据域。</w:t>
      </w:r>
    </w:p>
    <w:p w14:paraId="15D6BD46">
      <w:pPr>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Wang等人提出了一种使用无监督域适应（UDA）的方法，将知识从易获取的手写数据集迁移到扫描域</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_Ref11788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[13]</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该方法使用与结构（字形）相关的特征空间中的安全分布式对齐，可以减轻严重噪声和磨损的负面影响。其次，结合生成对抗网络（GANs）的思想，设计了一个生成器和双工判别器，实现任意一对图像之间学习纹理信息的交换来变换图像。这种方法成功地将手写甲骨文识别的知识迁移到扫描数据集，并提高了识别性能。</w:t>
      </w:r>
    </w:p>
    <w:p w14:paraId="3AD106FE">
      <w:pPr>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近期另有研究提出 UFCNet以无监督域自适应为核心思路，在特征层面引入频域信息与卷积注意力机制以增强对字符边缘与细粒度纹理的表达，并通过核范数约束等损失设计提升跨域对齐的稳定性。在Oracle-241数据集上的实验表明，该方法可在弱标注/无标注条件下获得更具竞争力的识别效果</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_Ref11658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[14]</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w:t>
      </w:r>
    </w:p>
    <w:p w14:paraId="25D1AA6F">
      <w:pPr>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p>
    <w:p w14:paraId="215F9C7D">
      <w:pPr>
        <w:numPr>
          <w:ilvl w:val="0"/>
          <w:numId w:val="0"/>
        </w:numPr>
        <w:spacing w:before="159" w:beforeLines="50" w:beforeAutospacing="0" w:after="159" w:afterLines="50" w:afterAutospacing="0" w:line="360" w:lineRule="auto"/>
        <w:ind w:leftChars="0"/>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3. 现实困境</w:t>
      </w:r>
    </w:p>
    <w:p w14:paraId="59577A77">
      <w:pPr>
        <w:numPr>
          <w:ilvl w:val="0"/>
          <w:numId w:val="0"/>
        </w:numPr>
        <w:spacing w:beforeAutospacing="0" w:line="360" w:lineRule="auto"/>
        <w:ind w:leftChars="0" w:firstLine="480" w:firstLineChars="200"/>
        <w:jc w:val="left"/>
        <w:rPr>
          <w:rFonts w:hint="eastAsia" w:ascii="宋体" w:hAnsi="宋体" w:eastAsia="宋体" w:cs="宋体"/>
          <w:b/>
          <w:bCs/>
          <w:sz w:val="32"/>
          <w:szCs w:val="32"/>
          <w:lang w:val="en-US" w:eastAsia="zh-CN"/>
        </w:rPr>
      </w:pPr>
      <w:r>
        <w:rPr>
          <w:rFonts w:hint="eastAsia" w:ascii="宋体" w:hAnsi="宋体" w:eastAsia="宋体" w:cs="宋体"/>
          <w:b w:val="0"/>
          <w:bCs w:val="0"/>
          <w:sz w:val="24"/>
          <w:szCs w:val="24"/>
          <w:lang w:val="en-US" w:eastAsia="zh-CN"/>
        </w:rPr>
        <w:t>在现实应用层面，甲骨文识别仍面临技术与数据的双重挑战：一方面，拓片与扫描图像常伴随裂纹、磨损、墨色不均与背景噪声，字符边界模糊且形态高度多样，传统“分割、识别”流程在断笔、粘连与残缺情况下易产生级联误差；同时，不同采集条件与风格域差异显著，使模型在跨数据集、跨场景泛化时表现波动，且仅依赖视觉特征难以充分利用构件结构、释读语义与上下文知识进行约束；另一方面，高质量标注数据稀缺，类别呈显著长尾分布，小样本字符与异体字大量存在，导致模型易偏向高频类并产生过拟合；此外，精细到字形部件、释读与语义关系的标注需要古文字学专家深度参与，成本高、周期长，客观上限制了大规模数据集与多模态资源的持续迭代；再加上部分先进模型训练与部署对算力要求较高，进一步抬高了研究与落地门槛</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_Ref10280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[1]</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_Ref11194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[9]</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w:t>
      </w:r>
    </w:p>
    <w:p w14:paraId="7246C297">
      <w:pPr>
        <w:numPr>
          <w:ilvl w:val="0"/>
          <w:numId w:val="0"/>
        </w:numPr>
        <w:spacing w:before="103" w:beforeLines="33" w:beforeAutospacing="0" w:after="159" w:afterLines="50" w:afterAutospacing="0" w:line="360" w:lineRule="auto"/>
        <w:ind w:leftChars="0"/>
        <w:jc w:val="left"/>
        <w:rPr>
          <w:rFonts w:hint="eastAsia" w:ascii="宋体" w:hAnsi="宋体" w:eastAsia="宋体" w:cs="宋体"/>
          <w:b/>
          <w:bCs/>
          <w:sz w:val="32"/>
          <w:szCs w:val="32"/>
          <w:lang w:val="en-US" w:eastAsia="zh-CN"/>
        </w:rPr>
      </w:pPr>
    </w:p>
    <w:p w14:paraId="3079A63E">
      <w:pPr>
        <w:numPr>
          <w:ilvl w:val="0"/>
          <w:numId w:val="0"/>
        </w:numPr>
        <w:spacing w:before="103" w:beforeLines="33" w:beforeAutospacing="0" w:after="159" w:afterLines="50" w:afterAutospacing="0" w:line="360" w:lineRule="auto"/>
        <w:ind w:leftChars="0"/>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4. 未来展望与总结</w:t>
      </w:r>
    </w:p>
    <w:p w14:paraId="222D88F6">
      <w:pPr>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人工智能为甲骨文识别注入了前所未有的活力，它不仅推动了古文字研究的技术变革，也重塑了我们理解历史文明的方式。未来的研究方向，首先应立足于更高质量的数据建设。当前可用的甲骨文数据仍然有限，且来源分散、标注标准不一。建立统一开放的数据平台、完善标注体系，将成为推动整个领域前进的关键一步。其次，模型的解释性与可迁移性需要得到重视。深度学习虽在识别精度上取得突破，但其“黑箱”特征限制了学术考释的可信度。未来的模型应更注重特征可解释性，使算法不仅能识别“是什么”，还能够说明“为什么”，让AI真正成为考古学与语言学研究的辅助者而非替代者。</w:t>
      </w:r>
    </w:p>
    <w:p w14:paraId="2DD281BD">
      <w:pPr>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此外，多模态融合技术的发展将为甲骨文识别带来新的突破。通过整合图像、语义、上下文和历史背景等多维信息，人工智能将能更全面地理解古文字的结构与意义，实现从“识字”到“解字”的跨越。这一趋势预示着甲骨文研究将从单一的视觉识别任务，迈向跨学科、多维度的综合理解体系。与此同时，文化数字化的社会价值也将日益凸显。AI识别不仅服务于学术研究，还可以推动古文字教育普及、博物馆展示与数字文创开发，让沉睡千年的文化遗产以全新的方式融入现代生活。</w:t>
      </w:r>
    </w:p>
    <w:p w14:paraId="79CAD0FC">
      <w:pPr>
        <w:numPr>
          <w:ilvl w:val="0"/>
          <w:numId w:val="0"/>
        </w:numPr>
        <w:spacing w:line="360" w:lineRule="auto"/>
        <w:ind w:left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从更长远的角度看，甲骨文识别的意义已超越技术层面。它是一种文化记忆的重建过程，是科技与人文的深度融合实践。随着大模型、知识图谱和生成式AI的不断成熟，未来的古文字研究有望实现自动释读与语义推理，形成可持续更新的知识体系。人工智能不再仅仅是工具，而将成为连接古今的桥梁，让三千多年前的文字在数字时代重新发声。</w:t>
      </w:r>
    </w:p>
    <w:p w14:paraId="5E60DE62">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3408316D">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55CBFB65">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54A08FA7">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54EB3636">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486752C6">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6A7D6DFC">
      <w:pPr>
        <w:numPr>
          <w:ilvl w:val="0"/>
          <w:numId w:val="0"/>
        </w:numPr>
        <w:spacing w:line="360" w:lineRule="auto"/>
        <w:ind w:leftChars="0"/>
        <w:jc w:val="left"/>
        <w:rPr>
          <w:rFonts w:hint="eastAsia" w:ascii="宋体" w:hAnsi="宋体" w:eastAsia="宋体" w:cs="宋体"/>
          <w:b w:val="0"/>
          <w:bCs w:val="0"/>
          <w:sz w:val="24"/>
          <w:szCs w:val="24"/>
          <w:lang w:val="en-US" w:eastAsia="zh-CN"/>
        </w:rPr>
      </w:pPr>
    </w:p>
    <w:p w14:paraId="7140D85B">
      <w:pPr>
        <w:numPr>
          <w:ilvl w:val="0"/>
          <w:numId w:val="0"/>
        </w:numPr>
        <w:spacing w:before="159" w:beforeLines="50" w:beforeAutospacing="0" w:after="159" w:afterLines="50" w:afterAutospacing="0" w:line="360" w:lineRule="auto"/>
        <w:ind w:leftChars="0"/>
        <w:jc w:val="center"/>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参考文献</w:t>
      </w:r>
    </w:p>
    <w:p w14:paraId="02446401">
      <w:pPr>
        <w:numPr>
          <w:ilvl w:val="0"/>
          <w:numId w:val="1"/>
        </w:numPr>
        <w:spacing w:beforeAutospacing="0" w:line="360" w:lineRule="auto"/>
        <w:ind w:left="425" w:leftChars="0" w:hanging="425" w:firstLineChars="0"/>
        <w:jc w:val="left"/>
        <w:rPr>
          <w:rFonts w:hint="default" w:ascii="Times New Roman" w:hAnsi="Times New Roman" w:eastAsia="宋体" w:cs="Times New Roman"/>
          <w:b w:val="0"/>
          <w:bCs w:val="0"/>
          <w:sz w:val="24"/>
          <w:szCs w:val="24"/>
          <w:lang w:val="en-US" w:eastAsia="zh-CN"/>
        </w:rPr>
      </w:pPr>
      <w:bookmarkStart w:id="0" w:name="_Ref10280"/>
      <w:r>
        <w:rPr>
          <w:rFonts w:hint="default" w:ascii="Times New Roman" w:hAnsi="Times New Roman" w:eastAsia="宋体" w:cs="Times New Roman"/>
          <w:b w:val="0"/>
          <w:bCs w:val="0"/>
          <w:sz w:val="24"/>
          <w:szCs w:val="24"/>
          <w:lang w:val="en-US" w:eastAsia="zh-CN"/>
        </w:rPr>
        <w:t>Li J, Chi X, Wang Q, Huang K, Wang D-H, Liu Y, Liu C-L. A comprehensive survey of oracle character recognition: challenges, benchmarks, and beyond. Pattern Recognition. 2025;111824. doi:10.1016/j.patcog.2025.111824.</w:t>
      </w:r>
      <w:bookmarkEnd w:id="0"/>
    </w:p>
    <w:p w14:paraId="2C2C5CF9">
      <w:pPr>
        <w:numPr>
          <w:ilvl w:val="0"/>
          <w:numId w:val="1"/>
        </w:numPr>
        <w:spacing w:line="360" w:lineRule="auto"/>
        <w:ind w:left="425" w:leftChars="0" w:hanging="425" w:firstLineChars="0"/>
        <w:jc w:val="left"/>
        <w:rPr>
          <w:rFonts w:hint="default" w:ascii="Times New Roman" w:hAnsi="Times New Roman" w:eastAsia="宋体" w:cs="Times New Roman"/>
          <w:b w:val="0"/>
          <w:bCs w:val="0"/>
          <w:sz w:val="24"/>
          <w:szCs w:val="24"/>
          <w:lang w:val="en-US" w:eastAsia="zh-CN"/>
        </w:rPr>
      </w:pPr>
      <w:bookmarkStart w:id="1" w:name="_Ref10234"/>
      <w:r>
        <w:rPr>
          <w:rFonts w:hint="default" w:ascii="Times New Roman" w:hAnsi="Times New Roman" w:eastAsia="宋体" w:cs="Times New Roman"/>
          <w:b w:val="0"/>
          <w:bCs w:val="0"/>
          <w:sz w:val="24"/>
          <w:szCs w:val="24"/>
          <w:lang w:val="en-US" w:eastAsia="zh-CN"/>
        </w:rPr>
        <w:t>Fu Y, Chen Y, Fang J, Jing Y. Oracle Bone Inscriptions Image Classification Based on Convolutional Neural Network. ISPRS International Journal of Geo-Information. 2022;11(1):45. doi:10.3390/ijgi11010045.</w:t>
      </w:r>
      <w:bookmarkEnd w:id="1"/>
    </w:p>
    <w:p w14:paraId="0C6DC417">
      <w:pPr>
        <w:numPr>
          <w:ilvl w:val="0"/>
          <w:numId w:val="1"/>
        </w:numPr>
        <w:spacing w:line="360" w:lineRule="auto"/>
        <w:ind w:left="425" w:leftChars="0" w:hanging="425" w:firstLineChars="0"/>
        <w:jc w:val="left"/>
        <w:rPr>
          <w:rFonts w:hint="default" w:ascii="Times New Roman" w:hAnsi="Times New Roman" w:eastAsia="宋体" w:cs="Times New Roman"/>
          <w:b w:val="0"/>
          <w:bCs w:val="0"/>
          <w:sz w:val="24"/>
          <w:szCs w:val="24"/>
          <w:lang w:val="en-US" w:eastAsia="zh-CN"/>
        </w:rPr>
      </w:pPr>
      <w:bookmarkStart w:id="2" w:name="_Ref10364"/>
      <w:r>
        <w:rPr>
          <w:rFonts w:hint="default" w:ascii="Times New Roman" w:hAnsi="Times New Roman" w:eastAsia="宋体" w:cs="Times New Roman"/>
          <w:b w:val="0"/>
          <w:bCs w:val="0"/>
          <w:sz w:val="24"/>
          <w:szCs w:val="24"/>
          <w:lang w:val="en-US" w:eastAsia="zh-CN"/>
        </w:rPr>
        <w:t>Huang H, Liu Y, Wang H, Jin L. Adaptive Glyph Texture GAN for Chinese Oracle Character Recognition. Pattern Recognition. 2023;139:109534. doi:10.1016/j.patcog.2023.109534.</w:t>
      </w:r>
      <w:bookmarkEnd w:id="2"/>
    </w:p>
    <w:p w14:paraId="3F052314">
      <w:pPr>
        <w:numPr>
          <w:ilvl w:val="0"/>
          <w:numId w:val="1"/>
        </w:numPr>
        <w:spacing w:line="360" w:lineRule="auto"/>
        <w:ind w:left="425" w:leftChars="0" w:hanging="425" w:firstLineChars="0"/>
        <w:jc w:val="left"/>
        <w:rPr>
          <w:rFonts w:hint="default" w:ascii="Times New Roman" w:hAnsi="Times New Roman" w:eastAsia="宋体" w:cs="Times New Roman"/>
          <w:b w:val="0"/>
          <w:bCs w:val="0"/>
          <w:sz w:val="24"/>
          <w:szCs w:val="24"/>
          <w:lang w:val="en-US" w:eastAsia="zh-CN"/>
        </w:rPr>
      </w:pPr>
      <w:bookmarkStart w:id="3" w:name="_Ref10570"/>
      <w:r>
        <w:rPr>
          <w:rFonts w:hint="default" w:ascii="Times New Roman" w:hAnsi="Times New Roman" w:eastAsia="宋体" w:cs="Times New Roman"/>
          <w:b w:val="0"/>
          <w:bCs w:val="0"/>
          <w:sz w:val="24"/>
          <w:szCs w:val="24"/>
          <w:lang w:val="en-US" w:eastAsia="zh-CN"/>
        </w:rPr>
        <w:t>Dosovitskiy A, Beyer L, Kolesnikov A, et al. An Image is Worth 16x16 Words: Transformers for Image Recognition at Scale. In: International Conference on Learning Representations (ICLR). 2021. arXiv:2010.11929.</w:t>
      </w:r>
      <w:bookmarkEnd w:id="3"/>
    </w:p>
    <w:p w14:paraId="4F00B7B1">
      <w:pPr>
        <w:numPr>
          <w:ilvl w:val="0"/>
          <w:numId w:val="1"/>
        </w:numPr>
        <w:spacing w:line="360" w:lineRule="auto"/>
        <w:ind w:left="425" w:leftChars="0" w:hanging="425" w:firstLineChars="0"/>
        <w:jc w:val="left"/>
        <w:rPr>
          <w:rFonts w:hint="default" w:ascii="Times New Roman" w:hAnsi="Times New Roman" w:eastAsia="宋体" w:cs="Times New Roman"/>
          <w:b w:val="0"/>
          <w:bCs w:val="0"/>
          <w:sz w:val="24"/>
          <w:szCs w:val="24"/>
          <w:lang w:val="en-US" w:eastAsia="zh-CN"/>
        </w:rPr>
      </w:pPr>
      <w:bookmarkStart w:id="4" w:name="_Ref10642"/>
      <w:r>
        <w:rPr>
          <w:rFonts w:hint="default" w:ascii="Times New Roman" w:hAnsi="Times New Roman" w:eastAsia="宋体" w:cs="Times New Roman"/>
          <w:b w:val="0"/>
          <w:bCs w:val="0"/>
          <w:sz w:val="24"/>
          <w:szCs w:val="24"/>
          <w:lang w:val="en-US" w:eastAsia="zh-CN"/>
        </w:rPr>
        <w:t>Zheng Y, Yuan J, Li W, et al. Ancient Chinese Character Recognition with Improved Swin-Transformer and Flexible Data Enhancement Strategies. Sensors. 2024;24(7):2182. doi:10.3390/s24072182.</w:t>
      </w:r>
      <w:bookmarkEnd w:id="4"/>
    </w:p>
    <w:p w14:paraId="23A62A41">
      <w:pPr>
        <w:numPr>
          <w:ilvl w:val="0"/>
          <w:numId w:val="1"/>
        </w:numPr>
        <w:spacing w:line="360" w:lineRule="auto"/>
        <w:ind w:left="425" w:leftChars="0" w:hanging="425" w:firstLineChars="0"/>
        <w:jc w:val="left"/>
        <w:rPr>
          <w:rFonts w:hint="default" w:ascii="Times New Roman" w:hAnsi="Times New Roman" w:eastAsia="宋体" w:cs="Times New Roman"/>
          <w:b w:val="0"/>
          <w:bCs w:val="0"/>
          <w:sz w:val="24"/>
          <w:szCs w:val="24"/>
          <w:lang w:val="en-US" w:eastAsia="zh-CN"/>
        </w:rPr>
      </w:pPr>
      <w:bookmarkStart w:id="5" w:name="_Ref10691"/>
      <w:r>
        <w:rPr>
          <w:rFonts w:hint="default" w:ascii="Times New Roman" w:hAnsi="Times New Roman" w:eastAsia="宋体" w:cs="Times New Roman"/>
          <w:b w:val="0"/>
          <w:bCs w:val="0"/>
          <w:sz w:val="24"/>
          <w:szCs w:val="24"/>
          <w:lang w:val="en-US" w:eastAsia="zh-CN"/>
        </w:rPr>
        <w:t>Chen C, Wang Q, Li H, et al. Decoding the Past: Solving Challenging Oracle Bone Characters Recognition Problem by Integrating Vision Transformer and Generative Adversarial Image Restoration Technique. In: Proc. IEEE 8th International Conference on Vision, Image and Signal Processing (ICVISP). 2024. doi:10.1109/ICVISP64524.2024.10959457.</w:t>
      </w:r>
      <w:bookmarkEnd w:id="5"/>
    </w:p>
    <w:p w14:paraId="761D7F76">
      <w:pPr>
        <w:numPr>
          <w:ilvl w:val="0"/>
          <w:numId w:val="1"/>
        </w:numPr>
        <w:spacing w:line="360" w:lineRule="auto"/>
        <w:ind w:left="425" w:leftChars="0" w:hanging="425" w:firstLineChars="0"/>
        <w:jc w:val="left"/>
        <w:rPr>
          <w:rFonts w:hint="default" w:ascii="Times New Roman" w:hAnsi="Times New Roman" w:eastAsia="宋体" w:cs="Times New Roman"/>
          <w:b w:val="0"/>
          <w:bCs w:val="0"/>
          <w:sz w:val="24"/>
          <w:szCs w:val="24"/>
          <w:lang w:val="en-US" w:eastAsia="zh-CN"/>
        </w:rPr>
      </w:pPr>
      <w:bookmarkStart w:id="6" w:name="_Ref10926"/>
      <w:r>
        <w:rPr>
          <w:rFonts w:hint="default" w:ascii="Times New Roman" w:hAnsi="Times New Roman" w:eastAsia="宋体" w:cs="Times New Roman"/>
          <w:b w:val="0"/>
          <w:bCs w:val="0"/>
          <w:sz w:val="24"/>
          <w:szCs w:val="24"/>
          <w:lang w:val="en-US" w:eastAsia="zh-CN"/>
        </w:rPr>
        <w:t>Zhang X, Ma J, et al. Research on YOLOv5 Oracle Recognition Algorithm Based on Multi-Module Fusion. IEEE Access. 2025;13:24358–24367. doi:10.1109/ACCESS.2025.3536553.</w:t>
      </w:r>
      <w:bookmarkEnd w:id="6"/>
    </w:p>
    <w:p w14:paraId="171E410C">
      <w:pPr>
        <w:numPr>
          <w:ilvl w:val="0"/>
          <w:numId w:val="1"/>
        </w:numPr>
        <w:spacing w:line="360" w:lineRule="auto"/>
        <w:ind w:left="425" w:leftChars="0" w:hanging="425" w:firstLineChars="0"/>
        <w:jc w:val="left"/>
        <w:rPr>
          <w:rFonts w:hint="default" w:ascii="Times New Roman" w:hAnsi="Times New Roman" w:eastAsia="宋体" w:cs="Times New Roman"/>
          <w:b w:val="0"/>
          <w:bCs w:val="0"/>
          <w:sz w:val="24"/>
          <w:szCs w:val="24"/>
          <w:lang w:val="en-US" w:eastAsia="zh-CN"/>
        </w:rPr>
      </w:pPr>
      <w:bookmarkStart w:id="7" w:name="_Ref10985"/>
      <w:r>
        <w:rPr>
          <w:rFonts w:hint="default" w:ascii="Times New Roman" w:hAnsi="Times New Roman" w:eastAsia="宋体" w:cs="Times New Roman"/>
          <w:b w:val="0"/>
          <w:bCs w:val="0"/>
          <w:sz w:val="24"/>
          <w:szCs w:val="24"/>
          <w:lang w:val="en-US" w:eastAsia="zh-CN"/>
        </w:rPr>
        <w:t>Zhen T, Zhang J, et al. An Oracle Bone Inscriptions Detection Algorithm Based on Improved YOLOv8. Algorithms. 2024;17(5):174. doi:10.3390/a17050174.</w:t>
      </w:r>
      <w:bookmarkEnd w:id="7"/>
    </w:p>
    <w:p w14:paraId="575FBEF7">
      <w:pPr>
        <w:numPr>
          <w:ilvl w:val="0"/>
          <w:numId w:val="1"/>
        </w:numPr>
        <w:spacing w:line="360" w:lineRule="auto"/>
        <w:ind w:left="425" w:leftChars="0" w:hanging="425" w:firstLineChars="0"/>
        <w:jc w:val="left"/>
        <w:rPr>
          <w:rFonts w:hint="default" w:ascii="Times New Roman" w:hAnsi="Times New Roman" w:eastAsia="宋体" w:cs="Times New Roman"/>
          <w:b w:val="0"/>
          <w:bCs w:val="0"/>
          <w:sz w:val="24"/>
          <w:szCs w:val="24"/>
          <w:lang w:val="en-US" w:eastAsia="zh-CN"/>
        </w:rPr>
      </w:pPr>
      <w:bookmarkStart w:id="8" w:name="_Ref11194"/>
      <w:r>
        <w:rPr>
          <w:rFonts w:hint="default" w:ascii="Times New Roman" w:hAnsi="Times New Roman" w:eastAsia="宋体" w:cs="Times New Roman"/>
          <w:b w:val="0"/>
          <w:bCs w:val="0"/>
          <w:sz w:val="24"/>
          <w:szCs w:val="24"/>
          <w:lang w:val="en-US" w:eastAsia="zh-CN"/>
        </w:rPr>
        <w:t>Huang S, Wang H, Liu Y, Shi X, Jin L. OBC306: A Large-Scale Oracle Bone Character Recognition Dataset. In: Proc. International Conference on Document Analysis and Recognition (ICDAR). 2019:681–688. doi:10.1109/ICDAR.2019.00115.</w:t>
      </w:r>
      <w:bookmarkEnd w:id="8"/>
    </w:p>
    <w:p w14:paraId="66E39281">
      <w:pPr>
        <w:numPr>
          <w:ilvl w:val="0"/>
          <w:numId w:val="1"/>
        </w:numPr>
        <w:spacing w:line="360" w:lineRule="auto"/>
        <w:ind w:left="425" w:leftChars="0" w:hanging="425" w:firstLineChars="0"/>
        <w:jc w:val="left"/>
        <w:rPr>
          <w:rFonts w:hint="default" w:ascii="Times New Roman" w:hAnsi="Times New Roman" w:eastAsia="宋体" w:cs="Times New Roman"/>
          <w:b w:val="0"/>
          <w:bCs w:val="0"/>
          <w:sz w:val="24"/>
          <w:szCs w:val="24"/>
          <w:lang w:val="en-US" w:eastAsia="zh-CN"/>
        </w:rPr>
      </w:pPr>
      <w:bookmarkStart w:id="9" w:name="_Ref11197"/>
      <w:r>
        <w:rPr>
          <w:rFonts w:hint="default" w:ascii="Times New Roman" w:hAnsi="Times New Roman" w:eastAsia="宋体" w:cs="Times New Roman"/>
          <w:b w:val="0"/>
          <w:bCs w:val="0"/>
          <w:sz w:val="24"/>
          <w:szCs w:val="24"/>
          <w:lang w:val="en-US" w:eastAsia="zh-CN"/>
        </w:rPr>
        <w:t>Wang W, Zhang T, Zhao Y, Jin X, Mouchère H, Yu X. Improving Oracle Bone Characters Recognition via a CycleGAN-Based Data Augmentation Method. In: Neural Information Processing (ICONIP 2022). CCIS 1793. Springer; 2023:88–100. doi:10.1007/978-981-99-1645-0_8.</w:t>
      </w:r>
      <w:bookmarkEnd w:id="9"/>
    </w:p>
    <w:p w14:paraId="4B6FFFE2">
      <w:pPr>
        <w:numPr>
          <w:ilvl w:val="0"/>
          <w:numId w:val="1"/>
        </w:numPr>
        <w:spacing w:line="360" w:lineRule="auto"/>
        <w:ind w:left="425" w:leftChars="0" w:hanging="425" w:firstLineChars="0"/>
        <w:jc w:val="left"/>
        <w:rPr>
          <w:rFonts w:hint="default" w:ascii="Times New Roman" w:hAnsi="Times New Roman" w:eastAsia="宋体" w:cs="Times New Roman"/>
          <w:b w:val="0"/>
          <w:bCs w:val="0"/>
          <w:sz w:val="24"/>
          <w:szCs w:val="24"/>
          <w:lang w:val="en-US" w:eastAsia="zh-CN"/>
        </w:rPr>
      </w:pPr>
      <w:bookmarkStart w:id="10" w:name="_Ref11367"/>
      <w:r>
        <w:rPr>
          <w:rFonts w:hint="default" w:ascii="Times New Roman" w:hAnsi="Times New Roman" w:eastAsia="宋体" w:cs="Times New Roman"/>
          <w:b w:val="0"/>
          <w:bCs w:val="0"/>
          <w:sz w:val="24"/>
          <w:szCs w:val="24"/>
          <w:lang w:val="en-US" w:eastAsia="zh-CN"/>
        </w:rPr>
        <w:t>Qi H, Zhang Y, Song D, et al. AncientGlyphNet: an advanced deep learning framework for detecting ancient script characters. Artificial Intelligence Review. 2025. doi:10.1007/s10462-024-11095-5.</w:t>
      </w:r>
      <w:bookmarkEnd w:id="10"/>
    </w:p>
    <w:p w14:paraId="7DF8C50A">
      <w:pPr>
        <w:numPr>
          <w:ilvl w:val="0"/>
          <w:numId w:val="1"/>
        </w:numPr>
        <w:spacing w:line="360" w:lineRule="auto"/>
        <w:ind w:left="425" w:leftChars="0" w:hanging="425" w:firstLineChars="0"/>
        <w:jc w:val="left"/>
        <w:rPr>
          <w:rFonts w:hint="default" w:ascii="Times New Roman" w:hAnsi="Times New Roman" w:eastAsia="宋体" w:cs="Times New Roman"/>
          <w:b w:val="0"/>
          <w:bCs w:val="0"/>
          <w:sz w:val="24"/>
          <w:szCs w:val="24"/>
          <w:lang w:val="en-US" w:eastAsia="zh-CN"/>
        </w:rPr>
      </w:pPr>
      <w:bookmarkStart w:id="11" w:name="_Ref14574"/>
      <w:r>
        <w:rPr>
          <w:rFonts w:hint="default" w:ascii="Times New Roman" w:hAnsi="Times New Roman" w:eastAsia="宋体" w:cs="Times New Roman"/>
          <w:b w:val="0"/>
          <w:bCs w:val="0"/>
          <w:sz w:val="24"/>
          <w:szCs w:val="24"/>
          <w:lang w:val="en-US" w:eastAsia="zh-CN"/>
        </w:rPr>
        <w:t>Jian</w:t>
      </w:r>
      <w:bookmarkStart w:id="14" w:name="_GoBack"/>
      <w:bookmarkEnd w:id="14"/>
      <w:r>
        <w:rPr>
          <w:rFonts w:hint="default" w:ascii="Times New Roman" w:hAnsi="Times New Roman" w:eastAsia="宋体" w:cs="Times New Roman"/>
          <w:b w:val="0"/>
          <w:bCs w:val="0"/>
          <w:sz w:val="24"/>
          <w:szCs w:val="24"/>
          <w:lang w:val="en-US" w:eastAsia="zh-CN"/>
        </w:rPr>
        <w:t>g H, Pan Y, Chen J, Liu Z, Zhou Y, Shu P, Li Y, Zhao H, Mihm S, Howe LC, Liu T. OracleSage: Towards Unified Visual-Linguistic Understanding of Oracle Bone Scripts through Cross-Modal Knowledge Fusion. arXiv:2411.17837. 2024.</w:t>
      </w:r>
      <w:bookmarkEnd w:id="11"/>
    </w:p>
    <w:p w14:paraId="08E74988">
      <w:pPr>
        <w:numPr>
          <w:ilvl w:val="0"/>
          <w:numId w:val="1"/>
        </w:numPr>
        <w:spacing w:line="360" w:lineRule="auto"/>
        <w:ind w:left="425" w:leftChars="0" w:hanging="425" w:firstLineChars="0"/>
        <w:jc w:val="left"/>
        <w:rPr>
          <w:rFonts w:hint="default" w:ascii="Times New Roman" w:hAnsi="Times New Roman" w:eastAsia="宋体" w:cs="Times New Roman"/>
          <w:b w:val="0"/>
          <w:bCs w:val="0"/>
          <w:sz w:val="24"/>
          <w:szCs w:val="24"/>
          <w:lang w:val="en-US" w:eastAsia="zh-CN"/>
        </w:rPr>
      </w:pPr>
      <w:bookmarkStart w:id="12" w:name="_Ref11788"/>
      <w:r>
        <w:rPr>
          <w:rFonts w:hint="default" w:ascii="Times New Roman" w:hAnsi="Times New Roman" w:eastAsia="宋体" w:cs="Times New Roman"/>
          <w:b w:val="0"/>
          <w:bCs w:val="0"/>
          <w:sz w:val="24"/>
          <w:szCs w:val="24"/>
          <w:lang w:val="en-US" w:eastAsia="zh-CN"/>
        </w:rPr>
        <w:t>Wang M, Deng W, Liu C-L. Unsupervised Structure-Texture Separation Network for Oracle Character Recognition. IEEE Transactions on Image Processing. 2022;31:3137–3150. doi:10.1109/TIP.2022.3165989.</w:t>
      </w:r>
      <w:bookmarkEnd w:id="12"/>
    </w:p>
    <w:p w14:paraId="795B6C8F">
      <w:pPr>
        <w:numPr>
          <w:ilvl w:val="0"/>
          <w:numId w:val="1"/>
        </w:numPr>
        <w:spacing w:line="360" w:lineRule="auto"/>
        <w:ind w:left="425" w:leftChars="0" w:hanging="425" w:firstLineChars="0"/>
        <w:jc w:val="left"/>
        <w:rPr>
          <w:rFonts w:hint="default" w:ascii="Times New Roman" w:hAnsi="Times New Roman" w:eastAsia="宋体" w:cs="Times New Roman"/>
          <w:b w:val="0"/>
          <w:bCs w:val="0"/>
          <w:sz w:val="24"/>
          <w:szCs w:val="24"/>
          <w:lang w:val="en-US" w:eastAsia="zh-CN"/>
        </w:rPr>
      </w:pPr>
      <w:bookmarkStart w:id="13" w:name="_Ref11658"/>
      <w:r>
        <w:rPr>
          <w:rFonts w:hint="default" w:ascii="Times New Roman" w:hAnsi="Times New Roman" w:eastAsia="宋体" w:cs="Times New Roman"/>
          <w:b w:val="0"/>
          <w:bCs w:val="0"/>
          <w:sz w:val="24"/>
          <w:szCs w:val="24"/>
          <w:lang w:val="en-US" w:eastAsia="zh-CN"/>
        </w:rPr>
        <w:t>Zhou Y, Liu G, Yang Y, Ru L, Liu D, Li X. UFCNet: Unsupervised Network based on Fourier transform and Convolutional attention for Oracle Character Recognition. In: Proceedings of the 1st Workshop on Machine Learning for Ancient Languages (ML4AL). 2024:98–106.</w:t>
      </w:r>
      <w:bookmarkEnd w:id="13"/>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10A0D0A9-595E-4212-ADE6-B31D5C8CF3A7}"/>
  </w:font>
  <w:font w:name="Arial">
    <w:panose1 w:val="020B0604020202020204"/>
    <w:charset w:val="01"/>
    <w:family w:val="swiss"/>
    <w:pitch w:val="default"/>
    <w:sig w:usb0="E0002EFF" w:usb1="C000785B" w:usb2="00000009" w:usb3="00000000" w:csb0="400001FF" w:csb1="FFFF0000"/>
    <w:embedRegular r:id="rId2" w:fontKey="{FF63C485-9A03-410F-BB58-5C9DEABC3099}"/>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1319908C-8DE0-4DD1-90A9-0B81D1B442D1}"/>
  </w:font>
  <w:font w:name="Symbol">
    <w:panose1 w:val="05050102010706020507"/>
    <w:charset w:val="02"/>
    <w:family w:val="roman"/>
    <w:pitch w:val="default"/>
    <w:sig w:usb0="00000000" w:usb1="00000000" w:usb2="00000000" w:usb3="00000000" w:csb0="80000000" w:csb1="00000000"/>
    <w:embedRegular r:id="rId4" w:fontKey="{583109E2-1420-4054-BF6D-D8CD4AC6D17F}"/>
  </w:font>
  <w:font w:name="Calibri">
    <w:panose1 w:val="020F0502020204030204"/>
    <w:charset w:val="00"/>
    <w:family w:val="swiss"/>
    <w:pitch w:val="default"/>
    <w:sig w:usb0="E4002EFF" w:usb1="C200247B" w:usb2="00000009" w:usb3="00000000" w:csb0="200001FF" w:csb1="00000000"/>
    <w:embedRegular r:id="rId5" w:fontKey="{C3E7925F-C355-435D-B285-26C09754E2BD}"/>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embedRegular r:id="rId6" w:fontKey="{24616881-5A0B-43C9-8602-7F1D8772D5CB}"/>
  </w:font>
  <w:font w:name="方正小标宋_GBK">
    <w:panose1 w:val="03000509000000000000"/>
    <w:charset w:val="86"/>
    <w:family w:val="script"/>
    <w:pitch w:val="default"/>
    <w:sig w:usb0="00000001" w:usb1="080E0000" w:usb2="00000000" w:usb3="00000000" w:csb0="00040000" w:csb1="00000000"/>
    <w:embedRegular r:id="rId7" w:fontKey="{EFE7B1E4-8997-49D1-9F64-C53AE1384390}"/>
  </w:font>
  <w:font w:name="WPSEMBED1">
    <w:panose1 w:val="03000509000000000000"/>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7D5B1A"/>
    <w:multiLevelType w:val="singleLevel"/>
    <w:tmpl w:val="417D5B1A"/>
    <w:lvl w:ilvl="0" w:tentative="0">
      <w:start w:val="1"/>
      <w:numFmt w:val="decimal"/>
      <w:suff w:val="space"/>
      <w:lvlText w:val="[%1]."/>
      <w:lvlJc w:val="left"/>
      <w:pPr>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B09"/>
    <w:rsid w:val="000806C1"/>
    <w:rsid w:val="000C0856"/>
    <w:rsid w:val="001A718F"/>
    <w:rsid w:val="00206CBE"/>
    <w:rsid w:val="002206BE"/>
    <w:rsid w:val="002C79B4"/>
    <w:rsid w:val="002D3B09"/>
    <w:rsid w:val="00476365"/>
    <w:rsid w:val="0055241D"/>
    <w:rsid w:val="00754DE0"/>
    <w:rsid w:val="007D57B4"/>
    <w:rsid w:val="007E2B69"/>
    <w:rsid w:val="008F725B"/>
    <w:rsid w:val="0092687B"/>
    <w:rsid w:val="0094151B"/>
    <w:rsid w:val="00A66B7D"/>
    <w:rsid w:val="00B6539C"/>
    <w:rsid w:val="00CF2C6B"/>
    <w:rsid w:val="00F92F3E"/>
    <w:rsid w:val="00FA6D8B"/>
    <w:rsid w:val="02656835"/>
    <w:rsid w:val="049011C3"/>
    <w:rsid w:val="058F1B1A"/>
    <w:rsid w:val="1663076D"/>
    <w:rsid w:val="18821801"/>
    <w:rsid w:val="1F9D38B7"/>
    <w:rsid w:val="30DD049A"/>
    <w:rsid w:val="32D47404"/>
    <w:rsid w:val="36364D02"/>
    <w:rsid w:val="389205E6"/>
    <w:rsid w:val="3FBB7E49"/>
    <w:rsid w:val="42F500EF"/>
    <w:rsid w:val="44DB3EBC"/>
    <w:rsid w:val="459040FF"/>
    <w:rsid w:val="48E20A8A"/>
    <w:rsid w:val="49F23D88"/>
    <w:rsid w:val="4A21693F"/>
    <w:rsid w:val="4C7B3413"/>
    <w:rsid w:val="5579695E"/>
    <w:rsid w:val="5729188C"/>
    <w:rsid w:val="5EE76B31"/>
    <w:rsid w:val="622B565B"/>
    <w:rsid w:val="6EA231FC"/>
    <w:rsid w:val="74A40EAA"/>
    <w:rsid w:val="74D96914"/>
    <w:rsid w:val="75710884"/>
    <w:rsid w:val="78747D90"/>
    <w:rsid w:val="7B696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5187</Words>
  <Characters>8175</Characters>
  <Lines>1</Lines>
  <Paragraphs>1</Paragraphs>
  <TotalTime>1224</TotalTime>
  <ScaleCrop>false</ScaleCrop>
  <LinksUpToDate>false</LinksUpToDate>
  <CharactersWithSpaces>8634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2021-04-01T06:18:00Z</dcterms:created>
  <dc:creator>Fudan</dc:creator>
  <cp:lastModifiedBy>WPS_1535603098</cp:lastModifiedBy>
  <dcterms:modified xsi:type="dcterms:W3CDTF">2026-01-06T11:20:46Z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8B45D0171801495F9BEA6170C7C59E5B_13</vt:lpwstr>
  </property>
  <property fmtid="{D5CDD505-2E9C-101B-9397-08002B2CF9AE}" pid="4" name="KSOSaveFontToCloudKey">
    <vt:lpwstr>741029620_embed</vt:lpwstr>
  </property>
  <property fmtid="{D5CDD505-2E9C-101B-9397-08002B2CF9AE}" pid="5" name="KSOTemplateDocerSaveRecord">
    <vt:lpwstr>eyJoZGlkIjoiNGNkNTRlOTEyZmE0NzQ1NDQ5ZjRkZmY5MThlODEyZGYiLCJ1c2VySWQiOiIzOTkyMjUzMDMifQ==</vt:lpwstr>
  </property>
</Properties>
</file>