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left"/>
      </w:pPr>
      <w:r>
        <w:rPr>
          <w:rFonts w:ascii="Segoe UI" w:hAnsi="Segoe UI" w:eastAsia="微软雅黑"/>
          <w:b w:val="0"/>
          <w:color w:val="5D6D84"/>
          <w:sz w:val="24"/>
        </w:rPr>
        <w:t>恒川支付运营 · 支付对账与差错追踪</w:t>
      </w:r>
    </w:p>
    <w:p>
      <w:pPr>
        <w:spacing w:before="120"/>
      </w:pPr>
      <w:r>
        <w:rPr>
          <w:rFonts w:ascii="Segoe UI" w:hAnsi="Segoe UI" w:eastAsia="微软雅黑"/>
          <w:b/>
          <w:color w:val="1A3A6B"/>
          <w:sz w:val="64"/>
        </w:rPr>
        <w:t>行业分析与技术可行性</w:t>
      </w:r>
    </w:p>
    <w:p>
      <w:r>
        <w:rPr>
          <w:rFonts w:ascii="Segoe UI" w:hAnsi="Segoe UI" w:eastAsia="微软雅黑"/>
          <w:b w:val="0"/>
          <w:color w:val="5D6D84"/>
          <w:sz w:val="25"/>
        </w:rPr>
        <w:t>渠道账单与交易流水差异定位 · 可比实践、口径辨析与适用性评估</w:t>
      </w:r>
    </w:p>
    <w:p>
      <w:pPr>
        <w:spacing w:before="360"/>
        <w:pBdr>
          <w:bottom w:val="single" w:sz="12" w:space="1" w:color="27456E"/>
        </w:pBdr>
      </w:pP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28"/>
          </w:tcPr>
          <w:p>
            <w:r>
              <w:rPr>
                <w:rFonts w:ascii="Segoe UI" w:hAnsi="Segoe UI" w:eastAsia="微软雅黑"/>
                <w:b w:val="0"/>
                <w:color w:val="5D6D84"/>
                <w:sz w:val="19"/>
              </w:rPr>
              <w:t>文档类型</w:t>
            </w:r>
          </w:p>
        </w:tc>
        <w:tc>
          <w:tcPr>
            <w:tcW w:type="dxa" w:w="7030"/>
          </w:tcPr>
          <w:p>
            <w:r>
              <w:rPr>
                <w:rFonts w:ascii="Segoe UI" w:hAnsi="Segoe UI" w:eastAsia="微软雅黑"/>
                <w:b w:val="0"/>
                <w:color w:val="1B2C46"/>
                <w:sz w:val="19"/>
              </w:rPr>
              <w:t>行业分析（Industry 视角）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eastAsia="微软雅黑"/>
                <w:b w:val="0"/>
                <w:color w:val="5D6D84"/>
                <w:sz w:val="19"/>
              </w:rPr>
              <w:t>适用项目</w:t>
            </w:r>
          </w:p>
        </w:tc>
        <w:tc>
          <w:tcPr>
            <w:tcW w:type="dxa" w:w="7030"/>
          </w:tcPr>
          <w:p>
            <w:r>
              <w:rPr>
                <w:rFonts w:ascii="Segoe UI" w:hAnsi="Segoe UI" w:eastAsia="微软雅黑"/>
                <w:b w:val="0"/>
                <w:color w:val="1B2C46"/>
                <w:sz w:val="19"/>
              </w:rPr>
              <w:t>支付对账与差错追踪 · 单渠道离线差异定位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eastAsia="微软雅黑"/>
                <w:b w:val="0"/>
                <w:color w:val="5D6D84"/>
                <w:sz w:val="19"/>
              </w:rPr>
              <w:t>配套文件</w:t>
            </w:r>
          </w:p>
        </w:tc>
        <w:tc>
          <w:tcPr>
            <w:tcW w:type="dxa" w:w="7030"/>
          </w:tcPr>
          <w:p>
            <w:r>
              <w:rPr>
                <w:rFonts w:ascii="Segoe UI" w:hAnsi="Segoe UI" w:eastAsia="微软雅黑"/>
                <w:b w:val="0"/>
                <w:color w:val="1B2C46"/>
                <w:sz w:val="19"/>
              </w:rPr>
              <w:t>业务需求发现报告 / 需求优先级与切入点 / 解决方案设计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eastAsia="微软雅黑"/>
                <w:b w:val="0"/>
                <w:color w:val="5D6D84"/>
                <w:sz w:val="19"/>
              </w:rPr>
              <w:t>版本</w:t>
            </w:r>
          </w:p>
        </w:tc>
        <w:tc>
          <w:tcPr>
            <w:tcW w:type="dxa" w:w="7030"/>
          </w:tcPr>
          <w:p>
            <w:r>
              <w:rPr>
                <w:rFonts w:ascii="Segoe UI" w:hAnsi="Segoe UI" w:eastAsia="微软雅黑"/>
                <w:b w:val="0"/>
                <w:color w:val="1B2C46"/>
                <w:sz w:val="19"/>
              </w:rPr>
              <w:t>v1.0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eastAsia="微软雅黑"/>
                <w:b w:val="0"/>
                <w:color w:val="5D6D84"/>
                <w:sz w:val="19"/>
              </w:rPr>
              <w:t>编制日期</w:t>
            </w:r>
          </w:p>
        </w:tc>
        <w:tc>
          <w:tcPr>
            <w:tcW w:type="dxa" w:w="7030"/>
          </w:tcPr>
          <w:p>
            <w:r>
              <w:rPr>
                <w:rFonts w:ascii="Segoe UI" w:hAnsi="Segoe UI" w:eastAsia="微软雅黑"/>
                <w:b w:val="0"/>
                <w:color w:val="1B2C46"/>
                <w:sz w:val="19"/>
              </w:rPr>
              <w:t>2026 年 10 月 29 日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eastAsia="微软雅黑"/>
                <w:b w:val="0"/>
                <w:color w:val="5D6D84"/>
                <w:sz w:val="19"/>
              </w:rPr>
              <w:t>资料来源</w:t>
            </w:r>
          </w:p>
        </w:tc>
        <w:tc>
          <w:tcPr>
            <w:tcW w:type="dxa" w:w="7030"/>
          </w:tcPr>
          <w:p>
            <w:r>
              <w:rPr>
                <w:rFonts w:ascii="Segoe UI" w:hAnsi="Segoe UI" w:eastAsia="微软雅黑"/>
                <w:b w:val="0"/>
                <w:color w:val="1B2C46"/>
                <w:sz w:val="19"/>
              </w:rPr>
              <w:t>公开案例、厂商公开基准、行业调研摘要（见第八节）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一  结论摘要</w:t>
      </w:r>
    </w:p>
    <w:p>
      <w:pPr>
        <w:spacing w:before="0" w:after="120" w:line="408" w:lineRule="auto"/>
      </w:pPr>
      <w:r>
        <w:rPr>
          <w:rFonts w:ascii="Times New Roman" w:hAnsi="Times New Roman" w:eastAsia="宋体"/>
          <w:b w:val="0"/>
          <w:color w:val="5D6D84"/>
          <w:sz w:val="19"/>
        </w:rPr>
        <w:t>本节先给结论，后文再给依据。所有数据均标注来源与统计口径，未标注来源的判断为本文分析。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4F7FB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</w:tcPr>
          <w:p>
            <w:pPr>
              <w:spacing w:before="120" w:after="40"/>
            </w:pPr>
            <w:r/>
            <w:r>
              <w:rPr>
                <w:rFonts w:ascii="Segoe UI" w:hAnsi="Segoe UI" w:eastAsia="微软雅黑"/>
                <w:b/>
                <w:color w:val="1A3A6B"/>
                <w:sz w:val="20"/>
              </w:rPr>
              <w:t>一句话结论</w:t>
            </w:r>
          </w:p>
          <w:p>
            <w:pPr>
              <w:spacing w:after="140" w:line="384" w:lineRule="auto"/>
            </w:pPr>
            <w:r>
              <w:rPr>
                <w:rFonts w:ascii="Times New Roman" w:hAnsi="Times New Roman" w:eastAsia="宋体"/>
                <w:b w:val="0"/>
                <w:color w:val="1B2C46"/>
                <w:sz w:val="20"/>
              </w:rPr>
              <w:t>对账自动化是成熟品类而非试验性技术，但行业公开的自动匹配率天花板在 89%–95%，不存在“全部自动匹配”的成熟实践。本项目提出的“99.9% 匹配准确率”只有按“已匹配项中结论正确的比例”理解才成立；若被理解为“自动匹配覆盖率”，则超出当前行业水平，必须在验收前完成口径定义。</w:t>
            </w:r>
          </w:p>
        </w:tc>
      </w:tr>
    </w:tbl>
    <w:p>
      <w:pPr>
        <w:spacing w:after="80"/>
      </w:pP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技术已成熟，不是尝鲜。</w:t>
      </w:r>
      <w:r>
        <w:rPr>
          <w:rFonts w:ascii="Times New Roman" w:hAnsi="Times New Roman" w:eastAsia="宋体"/>
          <w:b w:val="0"/>
          <w:color w:val="1B2C46"/>
          <w:sz w:val="21"/>
        </w:rPr>
        <w:t>对账自动化已进入规模化落地阶段。Gartner 2025 年调研显示，68% 的财务负责人将对账自动化列为计划中的 AI 投入，41% 已在生产环境使用；在“已产生可衡量 ROI”的 AI 场景中，支付对账排名第二。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自动匹配率的天花板是 89%–95%。</w:t>
      </w:r>
      <w:r>
        <w:rPr>
          <w:rFonts w:ascii="Times New Roman" w:hAnsi="Times New Roman" w:eastAsia="宋体"/>
          <w:b w:val="0"/>
          <w:color w:val="1B2C46"/>
          <w:sz w:val="21"/>
        </w:rPr>
        <w:t>BlackLine 2025 年企业客户基准 91%（上线满 12 个月）、Trintech Cadency 高频账户 93%、Xero 直通率 89%、结构化结算数据（Stripe / Adyen / Square）92%–96%。没有任何公开案例宣称全量自动匹配。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国内支付机构侧可达 98% 以上的差错自动处理。</w:t>
      </w:r>
      <w:r>
        <w:rPr>
          <w:rFonts w:ascii="Times New Roman" w:hAnsi="Times New Roman" w:eastAsia="宋体"/>
          <w:b w:val="0"/>
          <w:color w:val="1B2C46"/>
          <w:sz w:val="21"/>
        </w:rPr>
        <w:t>四川银行新一代对账系统 2025 年 5–12 月累计处理差错 5790 笔，其中系统自动处理 5681 笔、人工仅 109 笔，自动处理比例约 98.1%，对账效率从小时级降到分钟级。这说明“差错自动定性”在国内已有工程化先例。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决定匹配率的第一变量是数据质量，不是算法。</w:t>
      </w:r>
      <w:r>
        <w:rPr>
          <w:rFonts w:ascii="Times New Roman" w:hAnsi="Times New Roman" w:eastAsia="宋体"/>
          <w:b w:val="0"/>
          <w:color w:val="1B2C46"/>
          <w:sz w:val="21"/>
        </w:rPr>
        <w:t>Trintech 2025 年数据显示：参考字段一致的场景匹配率 91%，字段不一致或缺失时降到 76%，相差 15 个百分点，其变异性超过交易量、账户类型和行业因素。这与本项目“主编号关系不完整、时区不一致”的判断完全一致。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最大的风险是口径混用。</w:t>
      </w:r>
      <w:r>
        <w:rPr>
          <w:rFonts w:ascii="Times New Roman" w:hAnsi="Times New Roman" w:eastAsia="宋体"/>
          <w:b w:val="0"/>
          <w:color w:val="1B2C46"/>
          <w:sz w:val="21"/>
        </w:rPr>
        <w:t>行业用 auto-match rate（覆盖率），本项目要求的是 precision（准确率）。前者可以通过放宽规则做高，后者只能通过收紧规则和前置质控做高——方向相反。口径不定义，两个方向都能“做出”漂亮数字。</w:t>
      </w: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二  行业背景：对账为什么仍然靠人</w:t>
      </w:r>
    </w:p>
    <w:p>
      <w:pPr>
        <w:spacing w:before="240" w:after="100"/>
      </w:pPr>
      <w:r>
        <w:rPr>
          <w:rFonts w:ascii="Segoe UI" w:hAnsi="Segoe UI" w:eastAsia="微软雅黑"/>
          <w:b/>
          <w:color w:val="1B2C46"/>
          <w:sz w:val="23"/>
        </w:rPr>
        <w:t>2.1 交易规模与对账数据倍率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支付对账的工作量并不等于交易笔数。四川银行案例披露，其支付通道对账涉及外部机构、行内支付系统、核心系统三方数据核对，每日处理的对账数据量为交易量的 3 倍。该行 2025 年 5–12 月累计处理支付交易 24255.19 万笔、金额 10.59 万亿元，日均 108.77 万笔，单日峰值 139.07 万笔。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本项目现状为每日 80 万笔（f12），与上述案例处于同一量级。这意味着：单机批处理即可支撑，不需要引入分布式引擎；但“3 倍数据量、多源核对”的复杂度是真实存在的，不能按单表比对的思路设计。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1B2C46"/>
          <w:sz w:val="23"/>
        </w:rPr>
        <w:t>2.2 为什么人工负荷没有随技术下降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J.P. Morgan 2025 年对 400 位企业财资与财务负责人的调研显示，61% 的受访者认为支付对账是其最耗时的手工流程，而 2022 年这一比例是 44%。比例上升的原因不是技术退步，而是数字支付渠道扩张带来的交易量增长没有伴随人头增长。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国内中小微场景的对照数据更直观：邮储银行“收款伴侣”智能对账系统上线后，某批发零售企业月底对账周期从 3 人加班 3 天缩短到 5 小时。这类案例的共同点不是“算法多先进”，而是把“逐笔翻流水”换成了“系统归集 + 自动匹配 + 异常集中处理”。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4F7FB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</w:tcPr>
          <w:p>
            <w:pPr>
              <w:spacing w:before="120" w:after="40"/>
            </w:pPr>
            <w:r/>
            <w:r>
              <w:rPr>
                <w:rFonts w:ascii="Segoe UI" w:hAnsi="Segoe UI" w:eastAsia="微软雅黑"/>
                <w:b/>
                <w:color w:val="1A3A6B"/>
                <w:sz w:val="20"/>
              </w:rPr>
              <w:t>对项目的含义</w:t>
            </w:r>
          </w:p>
          <w:p>
            <w:pPr>
              <w:spacing w:after="140" w:line="384" w:lineRule="auto"/>
            </w:pPr>
            <w:r>
              <w:rPr>
                <w:rFonts w:ascii="Times New Roman" w:hAnsi="Times New Roman" w:eastAsia="宋体"/>
                <w:b w:val="0"/>
                <w:color w:val="1B2C46"/>
                <w:sz w:val="20"/>
              </w:rPr>
              <w:t>本项目的价值不在“用 AI 替代人”，而在把 80 万笔中的绝大多数变成“无需人工介入的正常项”，把人力集中到真正需要判断的少数差异上。这与行业实践的方向一致。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三  技术实践谱系：四代方案与各自边界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对账技术并非单点突破，而是沿着“确定性 → 概率性 → 规模化 → 归因化”演进的四层能力。理解每一层的边界，比选择某一层更重要。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134"/>
        <w:gridCol w:w="2154"/>
        <w:gridCol w:w="2268"/>
        <w:gridCol w:w="2154"/>
        <w:gridCol w:w="1360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代际</w:t>
            </w:r>
          </w:p>
        </w:tc>
        <w:tc>
          <w:tcPr>
            <w:tcW w:type="dxa" w:w="2154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核心方法</w:t>
            </w:r>
          </w:p>
        </w:tc>
        <w:tc>
          <w:tcPr>
            <w:tcW w:type="dxa" w:w="2268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典型能力</w:t>
            </w:r>
          </w:p>
        </w:tc>
        <w:tc>
          <w:tcPr>
            <w:tcW w:type="dxa" w:w="2154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失效条件</w:t>
            </w:r>
          </w:p>
        </w:tc>
        <w:tc>
          <w:tcPr>
            <w:tcW w:type="dxa" w:w="1361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本项目采用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第一代</w:t>
              <w:br/>
              <w:t>规则引擎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主键 + 金额 + 交易类型精确比对</w:t>
            </w:r>
          </w:p>
        </w:tc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覆盖 70%–85% 的正常交易，结果完全可解释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主键缺失、时区不一致、合并入账时直接失效</w:t>
            </w:r>
          </w:p>
        </w:tc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采用</w:t>
              <w:br/>
              <w:t>（L1 / L2 层）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第二代</w:t>
              <w:br/>
              <w:t>模糊匹配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金额 + 时间窗 + 商户号多键加权，相似度阈值</w:t>
            </w:r>
          </w:p>
        </w:tc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回收主键缺失场景的 5%–10%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同额多笔时产生误匹配，且难以自证</w:t>
            </w:r>
          </w:p>
        </w:tc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有限采用</w:t>
              <w:br/>
              <w:t>（L3 层降级为候选）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第三代</w:t>
              <w:br/>
              <w:t>分布式批处理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分片并行（MapReduce / Spark），按渠道/日期切分</w:t>
            </w:r>
          </w:p>
        </w:tc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支撑 10 亿级日交易，某平台把对账耗时从 4 小时压到 30 分钟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解决的是吞吐问题，不解决口径与质量问题</w:t>
            </w:r>
          </w:p>
        </w:tc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预留</w:t>
              <w:br/>
              <w:t>（当前单机足够）</w:t>
            </w:r>
          </w:p>
        </w:tc>
      </w:tr>
      <w:tr>
        <w:trPr>
          <w:cantSplit w:val="true"/>
        </w:trPr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第四代</w:t>
              <w:br/>
              <w:t>AI 归因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规则 + 模型对异常做原因归类，输出处置建议</w:t>
            </w:r>
          </w:p>
        </w:tc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把“哪笔对不上”推进到“为什么对不上”</w:t>
            </w:r>
          </w:p>
        </w:tc>
        <w:tc>
          <w:tcPr>
            <w:tcW w:type="dxa" w:w="215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幻觉、不可解释、审计难追溯</w:t>
            </w:r>
          </w:p>
        </w:tc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采用保守形态</w:t>
              <w:br/>
              <w:t>（有限枚举 + 证据引用）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Segoe UI" w:hAnsi="Segoe UI" w:eastAsia="微软雅黑"/>
          <w:b w:val="0"/>
          <w:color w:val="5D6D84"/>
          <w:sz w:val="17"/>
        </w:rPr>
        <w:t>表 1  对账技术四代能力谱系与本项目取舍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值得单独说明两点：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AI 归因要约束在已知类型上。</w:t>
      </w:r>
      <w:r>
        <w:rPr>
          <w:rFonts w:ascii="Times New Roman" w:hAnsi="Times New Roman" w:eastAsia="宋体"/>
          <w:b w:val="0"/>
          <w:color w:val="1B2C46"/>
          <w:sz w:val="21"/>
        </w:rPr>
        <w:t>第四代的“AI 归因”在工程上最容易被做成黑箱。四川银行的做法是“系统自动识别并处理 99% 的常见差错”，即把 AI 能力约束在</w:t>
      </w:r>
      <w:r>
        <w:rPr>
          <w:rFonts w:ascii="Times New Roman" w:hAnsi="Times New Roman" w:eastAsia="宋体"/>
          <w:b/>
          <w:color w:val="1B2C46"/>
          <w:sz w:val="21"/>
        </w:rPr>
        <w:t>已知差错类型</w:t>
      </w:r>
      <w:r>
        <w:rPr>
          <w:rFonts w:ascii="Times New Roman" w:hAnsi="Times New Roman" w:eastAsia="宋体"/>
          <w:b w:val="0"/>
          <w:color w:val="1B2C46"/>
          <w:sz w:val="21"/>
        </w:rPr>
        <w:t>上，而不是让它自由生成结论。本项目采用“10 类有限原因码 + 证据引用”的设计，正是同一思路的低配版本：宁可少归因，不可乱归因。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区块链方案不适用。</w:t>
      </w:r>
      <w:r>
        <w:rPr>
          <w:rFonts w:ascii="Times New Roman" w:hAnsi="Times New Roman" w:eastAsia="宋体"/>
          <w:b w:val="0"/>
          <w:color w:val="1B2C46"/>
          <w:sz w:val="21"/>
        </w:rPr>
        <w:t>区块链“天然对账”在跨境与联盟链场景已有试点（如 JPM Coin 用于跨境实时清算），但前提是参与方共享同一账本。本项目面对的是外部渠道的既有结算文件，不具备该前提，不纳入技术选型。</w:t>
      </w: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四  标杆实践与公开基准数据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下表汇总可公开查证的自动匹配率数据。需要强调：这些数字的统计对象、分母与排除规则各不相同，</w:t>
      </w:r>
      <w:r>
        <w:rPr>
          <w:rFonts w:ascii="Times New Roman" w:hAnsi="Times New Roman" w:eastAsia="宋体"/>
          <w:b/>
          <w:color w:val="1B2C46"/>
          <w:sz w:val="21"/>
        </w:rPr>
        <w:t>不能直接横向比较，更不能直接作为本项目的验收基线</w:t>
      </w:r>
      <w:r>
        <w:rPr>
          <w:rFonts w:ascii="Times New Roman" w:hAnsi="Times New Roman" w:eastAsia="宋体"/>
          <w:b w:val="0"/>
          <w:color w:val="1B2C46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2268"/>
        <w:gridCol w:w="2494"/>
        <w:gridCol w:w="2381"/>
        <w:gridCol w:w="1927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来源 / 场景</w:t>
            </w:r>
          </w:p>
        </w:tc>
        <w:tc>
          <w:tcPr>
            <w:tcW w:type="dxa" w:w="2494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统计口径</w:t>
            </w:r>
          </w:p>
        </w:tc>
        <w:tc>
          <w:tcPr>
            <w:tcW w:type="dxa" w:w="2381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公开数据</w:t>
            </w:r>
          </w:p>
        </w:tc>
        <w:tc>
          <w:tcPr>
            <w:tcW w:type="dxa" w:w="1928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出处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四川银行 新一代对账系统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支付通道三方对账，差错自动处理比例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98.1%（5681 / 5790 笔）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金融科技创新案例，2025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BlackLine 企业客户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交易匹配自动率，上线 ≥12 个月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91%（新上线 &lt;6 个月为 78%）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BlackLine 2025 基准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Trintech Cadency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高频账户（&gt;500 笔/月）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93%（低频账户 84%）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Trintech 2025 客户数据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Xero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银行流水匹配建议率 / 用户采纳率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95% / 94%，直通率 89%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Xero 2025 内部基准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Stripe / Adyen / Square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结构化结算数据 vs 收入记录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92%–96%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Levvel Research 2025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AFP 支付调研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需人工复核的例外率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境内 9%，跨境 17%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AFP 2025 Payments Survey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IOFM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成熟 AP 付款匹配直通率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87%–92%（新上线 68%–75%）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IOFM 2025 AP 基准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邮储银行 收款伴侣</w:t>
            </w:r>
          </w:p>
        </w:tc>
        <w:tc>
          <w:tcPr>
            <w:tcW w:type="dxa" w:w="249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中小微企业月底对账周期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3 天 → 5 小时</w:t>
            </w:r>
          </w:p>
        </w:tc>
        <w:tc>
          <w:tcPr>
            <w:tcW w:type="dxa" w:w="192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新华网，2025-12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Segoe UI" w:hAnsi="Segoe UI" w:eastAsia="微软雅黑"/>
          <w:b w:val="0"/>
          <w:color w:val="5D6D84"/>
          <w:sz w:val="17"/>
        </w:rPr>
        <w:t>表 2  公开可查的自动匹配率与效率基准（口径各异，仅供区间参考）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从这张表可以读出三个稳定结论：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区间高度收敛。</w:t>
      </w:r>
      <w:r>
        <w:rPr>
          <w:rFonts w:ascii="Times New Roman" w:hAnsi="Times New Roman" w:eastAsia="宋体"/>
          <w:b w:val="0"/>
          <w:color w:val="1B2C46"/>
          <w:sz w:val="21"/>
        </w:rPr>
        <w:t>无论厂商规模，公开的自动匹配率都落在 89%–96% 区间；超过 97% 的只有“差错自动处理”这类更窄的口径（只统计已识别为差错的部分，分母不含正常交易）。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成熟期与上线初期差 10–15 个百分点。</w:t>
      </w:r>
      <w:r>
        <w:rPr>
          <w:rFonts w:ascii="Times New Roman" w:hAnsi="Times New Roman" w:eastAsia="宋体"/>
          <w:b w:val="0"/>
          <w:color w:val="1B2C46"/>
          <w:sz w:val="21"/>
        </w:rPr>
        <w:t>BlackLine 新上线客户 78%，成熟客户 91%；IOFM 新上线 68%–75%，成熟 87%–92%。上线半年内的表现显著低于稳态，原因是模型需要积累纠正样本。本项目首期只有单渠道单日回放，</w:t>
      </w:r>
      <w:r>
        <w:rPr>
          <w:rFonts w:ascii="Times New Roman" w:hAnsi="Times New Roman" w:eastAsia="宋体"/>
          <w:b/>
          <w:color w:val="1B2C46"/>
          <w:sz w:val="21"/>
        </w:rPr>
        <w:t>不具备达到稳态的条件</w:t>
      </w:r>
      <w:r>
        <w:rPr>
          <w:rFonts w:ascii="Times New Roman" w:hAnsi="Times New Roman" w:eastAsia="宋体"/>
          <w:b w:val="0"/>
          <w:color w:val="1B2C46"/>
          <w:sz w:val="21"/>
        </w:rPr>
        <w:t>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例外率是设计的一部分。</w:t>
      </w:r>
      <w:r>
        <w:rPr>
          <w:rFonts w:ascii="Times New Roman" w:hAnsi="Times New Roman" w:eastAsia="宋体"/>
          <w:b w:val="0"/>
          <w:color w:val="1B2C46"/>
          <w:sz w:val="21"/>
        </w:rPr>
        <w:t>成熟厂商用 91% 的自动匹配率服务企业客户，同时把 9% 的例外交给人工，并把这 9% 定义为“正常运营成本”而非“系统缺陷”。本项目把 100% 可查原因作为质量标准，本质是把 9% 的例外也纳入了质量范围——这是更严的要求，需要更长的验证周期。</w:t>
      </w: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五  关键辨析：自动匹配率 ≠ 匹配准确率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这是本报告最重要的一节，也是决定 99.9% 能否验收的地方。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474"/>
        <w:gridCol w:w="3855"/>
        <w:gridCol w:w="3742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55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自动匹配率（auto-match rate）</w:t>
            </w:r>
          </w:p>
        </w:tc>
        <w:tc>
          <w:tcPr>
            <w:tcW w:type="dxa" w:w="3742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匹配准确率（precision）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定义</w:t>
            </w:r>
          </w:p>
        </w:tc>
        <w:tc>
          <w:tcPr>
            <w:tcW w:type="dxa" w:w="385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系统自动给出结论的笔数 ÷ 全部笔数</w:t>
            </w:r>
          </w:p>
        </w:tc>
        <w:tc>
          <w:tcPr>
            <w:tcW w:type="dxa" w:w="374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结论正确的笔数 ÷ 系统自动给出结论的笔数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行业水平</w:t>
            </w:r>
          </w:p>
        </w:tc>
        <w:tc>
          <w:tcPr>
            <w:tcW w:type="dxa" w:w="385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89%–96%（见表 2）</w:t>
            </w:r>
          </w:p>
        </w:tc>
        <w:tc>
          <w:tcPr>
            <w:tcW w:type="dxa" w:w="374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四川银行差错自动处理正确率约 98.1%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DF3F2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本项目要求</w:t>
            </w:r>
          </w:p>
        </w:tc>
        <w:tc>
          <w:tcPr>
            <w:tcW w:type="dxa" w:w="385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DF3F2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未定义</w:t>
            </w:r>
          </w:p>
        </w:tc>
        <w:tc>
          <w:tcPr>
            <w:tcW w:type="dxa" w:w="374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DF3F2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99.9%（f02 / f42）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提高方式</w:t>
            </w:r>
          </w:p>
        </w:tc>
        <w:tc>
          <w:tcPr>
            <w:tcW w:type="dxa" w:w="385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放宽匹配规则（金额+时间窗兜底更多）</w:t>
            </w:r>
          </w:p>
        </w:tc>
        <w:tc>
          <w:tcPr>
            <w:tcW w:type="dxa" w:w="374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收紧规则 + 前置质控（牺牲覆盖率）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典型风险</w:t>
            </w:r>
          </w:p>
        </w:tc>
        <w:tc>
          <w:tcPr>
            <w:tcW w:type="dxa" w:w="385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把“匹配不上”伪装成“匹配上”</w:t>
            </w:r>
          </w:p>
        </w:tc>
        <w:tc>
          <w:tcPr>
            <w:tcW w:type="dxa" w:w="374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通过排除规则把分母做小</w:t>
            </w:r>
          </w:p>
        </w:tc>
      </w:tr>
      <w:tr>
        <w:trPr>
          <w:cantSplit w:val="true"/>
        </w:trPr>
        <w:tc>
          <w:tcPr>
            <w:tcW w:type="dxa" w:w="147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对应业务指标</w:t>
            </w:r>
          </w:p>
        </w:tc>
        <w:tc>
          <w:tcPr>
            <w:tcW w:type="dxa" w:w="385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自动化程度、人工负荷</w:t>
            </w:r>
          </w:p>
        </w:tc>
        <w:tc>
          <w:tcPr>
            <w:tcW w:type="dxa" w:w="3742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结论可信度、复核返工率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Segoe UI" w:hAnsi="Segoe UI" w:eastAsia="微软雅黑"/>
          <w:b w:val="0"/>
          <w:color w:val="5D6D84"/>
          <w:sz w:val="17"/>
        </w:rPr>
        <w:t>表 3  两种口径的定义、水平与风险对比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把这两个口径放在一起看，会发现一个必须写进验收文件的事实：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4F7FB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</w:tcPr>
          <w:p>
            <w:pPr>
              <w:spacing w:before="120" w:after="40"/>
            </w:pPr>
            <w:r/>
            <w:r>
              <w:rPr>
                <w:rFonts w:ascii="Segoe UI" w:hAnsi="Segoe UI" w:eastAsia="微软雅黑"/>
                <w:b/>
                <w:color w:val="1A3A6B"/>
                <w:sz w:val="20"/>
              </w:rPr>
              <w:t>口径判定</w:t>
            </w:r>
          </w:p>
          <w:p>
            <w:pPr>
              <w:spacing w:after="140" w:line="384" w:lineRule="auto"/>
            </w:pPr>
            <w:r>
              <w:rPr>
                <w:rFonts w:ascii="Times New Roman" w:hAnsi="Times New Roman" w:eastAsia="宋体"/>
                <w:b w:val="0"/>
                <w:color w:val="1B2C46"/>
                <w:sz w:val="20"/>
              </w:rPr>
              <w:t>99.9% 只能按 precision 理解——即“系统给出的每 1000 条结论里，错误不超过 1 条”。若按 auto-match rate 理解，则意味着 99.9% 的结算行都能被自动匹配，这超出当前所有公开实践（最高 96%），在首期单渠道回放中不可达。</w:t>
            </w:r>
          </w:p>
        </w:tc>
      </w:tr>
    </w:tbl>
    <w:p>
      <w:pPr>
        <w:spacing w:after="80"/>
      </w:pP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由此推出三条验收前提，缺一不可：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B2C46"/>
          <w:sz w:val="21"/>
        </w:rPr>
        <w:t>① 分母固定。</w:t>
      </w:r>
      <w:r>
        <w:rPr>
          <w:rFonts w:ascii="Times New Roman" w:hAnsi="Times New Roman" w:eastAsia="宋体"/>
          <w:b w:val="0"/>
          <w:color w:val="1B2C46"/>
          <w:sz w:val="21"/>
        </w:rPr>
        <w:t>分母必须固定为“进入自动匹配的笔数”，且排除项（修复队列、低置信转人工、快照过期）必须与指标同时披露。只报准确率不报排除项，等于允许通过扩大排除范围抬高比例（f53 已明确禁止）。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B2C46"/>
          <w:sz w:val="21"/>
        </w:rPr>
        <w:t>② 字段固定。</w:t>
      </w:r>
      <w:r>
        <w:rPr>
          <w:rFonts w:ascii="Times New Roman" w:hAnsi="Times New Roman" w:eastAsia="宋体"/>
          <w:b w:val="0"/>
          <w:color w:val="1B2C46"/>
          <w:sz w:val="21"/>
        </w:rPr>
        <w:t>差异“可查原因”必须有字段清单，缺任一字段即判为未解释。否则“有原因”会退化为一句模糊备注，与行业里“匹配上了但说不清为什么”的常见问题同源。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B2C46"/>
          <w:sz w:val="21"/>
        </w:rPr>
        <w:t>③ 双指标并行。</w:t>
      </w:r>
      <w:r>
        <w:rPr>
          <w:rFonts w:ascii="Times New Roman" w:hAnsi="Times New Roman" w:eastAsia="宋体"/>
          <w:b w:val="0"/>
          <w:color w:val="1B2C46"/>
          <w:sz w:val="21"/>
        </w:rPr>
        <w:t>首期应同时报告覆盖率与准确率：覆盖率说明自动化程度（对标行业 89%–96%），准确率说明结论可信度。只报一个数，管理层与风险侧会各自得出相反结论。</w:t>
      </w: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六  行业通用实践与本项目的适用性差异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行业方案默认的前提，在本项目里多数不成立。下表逐项对照，这是判断“能不能照搬”的依据。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247"/>
        <w:gridCol w:w="2608"/>
        <w:gridCol w:w="2835"/>
        <w:gridCol w:w="2381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608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行业通用实践</w:t>
            </w:r>
          </w:p>
        </w:tc>
        <w:tc>
          <w:tcPr>
            <w:tcW w:type="dxa" w:w="2835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本项目约束（事实依据）</w:t>
            </w:r>
          </w:p>
        </w:tc>
        <w:tc>
          <w:tcPr>
            <w:tcW w:type="dxa" w:w="2381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对方案的影响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数据质量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结算文件结构化，参考字段完整，主键可直接关联</w:t>
            </w:r>
          </w:p>
        </w:tc>
        <w:tc>
          <w:tcPr>
            <w:tcW w:type="dxa" w:w="283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交易号、商户订单号、渠道号关系不完整，时区不一致（f31）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匹配率将明显低于行业基准；必须先做字段级质控，否则算法背锅数据问题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数据接口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API 准实时直连，或 T+1 全量文件</w:t>
            </w:r>
          </w:p>
        </w:tc>
        <w:tc>
          <w:tcPr>
            <w:tcW w:type="dxa" w:w="283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每天两次只读快照，超期标“待刷新”（f34 / f35）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不能承诺实时性；界面必须显式标注快照时间，匹配结果随快照版本变化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权限模型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系统账号 + 角色，按功能授权</w:t>
            </w:r>
          </w:p>
        </w:tc>
        <w:tc>
          <w:tcPr>
            <w:tcW w:type="dxa" w:w="283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按岗位最小化，禁止借用他人账号（f41）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需要按岗位裁剪视图，同一差异对不同岗位展示不同字段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处置能力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自动冲正、自动补单、自动生成调整分录</w:t>
            </w:r>
          </w:p>
        </w:tc>
        <w:tc>
          <w:tcPr>
            <w:tcW w:type="dxa" w:w="283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只读，不进行任何自主资金操作（f05 / f52）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行业方案的核心卖点（自动处置）在本项目全部不可用，只能做建议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审计要求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操作日志 + 审批流</w:t>
            </w:r>
          </w:p>
        </w:tc>
        <w:tc>
          <w:tcPr>
            <w:tcW w:type="dxa" w:w="283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六要素可重建全链路、不记口令（f45）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留痕要求高于通用产品，需要设计专门的审计数据结构</w:t>
            </w:r>
          </w:p>
        </w:tc>
      </w:tr>
      <w:tr>
        <w:trPr>
          <w:cantSplit w:val="true"/>
        </w:trPr>
        <w:tc>
          <w:tcPr>
            <w:tcW w:type="dxa" w:w="1247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复核机制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按金额阈值分级审批</w:t>
            </w:r>
          </w:p>
        </w:tc>
        <w:tc>
          <w:tcPr>
            <w:tcW w:type="dxa" w:w="2835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资金调整强制双人复核，不可绕过（f40）</w:t>
            </w:r>
          </w:p>
        </w:tc>
        <w:tc>
          <w:tcPr>
            <w:tcW w:type="dxa" w:w="238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必须在流程中设置硬约束，而不是依赖制度约束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Segoe UI" w:hAnsi="Segoe UI" w:eastAsia="微软雅黑"/>
          <w:b w:val="0"/>
          <w:color w:val="5D6D84"/>
          <w:sz w:val="17"/>
        </w:rPr>
        <w:t>表 4  行业通用前提与本项目约束的逐项对照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这张表解释了一个常见误判：把行业产品的“自动匹配率 91%”直接搬来作为本项目承诺，却忽略了对方的数据前提（参考字段完整）和处置权限（可自动调账）。本项目两者都不具备，预期必须以“质控后的真实水平”重新校准。</w:t>
      </w: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七  可行性判定与建议动作</w:t>
      </w:r>
    </w:p>
    <w:p>
      <w:pPr>
        <w:spacing w:before="240" w:after="100"/>
      </w:pPr>
      <w:r>
        <w:rPr>
          <w:rFonts w:ascii="Segoe UI" w:hAnsi="Segoe UI" w:eastAsia="微软雅黑"/>
          <w:b/>
          <w:color w:val="1B2C46"/>
          <w:sz w:val="23"/>
        </w:rPr>
        <w:t>7.1 四维可行性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072"/>
      </w:tblPr>
      <w:tblGrid>
        <w:gridCol w:w="1360"/>
        <w:gridCol w:w="1134"/>
        <w:gridCol w:w="3969"/>
        <w:gridCol w:w="260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34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969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2608"/>
            <w:shd w:val="clear" w:color="auto" w:fill="27456E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60" w:after="60"/>
              <w:jc w:val="center"/>
            </w:pPr>
            <w:r/>
            <w:r>
              <w:rPr>
                <w:rFonts w:ascii="Segoe UI" w:hAnsi="Segoe UI" w:eastAsia="微软雅黑"/>
                <w:b/>
                <w:color w:val="FFFFFF"/>
                <w:sz w:val="18"/>
              </w:rPr>
              <w:t>前置条件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技术可行性</w:t>
            </w:r>
          </w:p>
        </w:tc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高</w:t>
            </w:r>
          </w:p>
        </w:tc>
        <w:tc>
          <w:tcPr>
            <w:tcW w:type="dxa" w:w="396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单渠道单日 80 万笔量级，规则引擎 + 轻量模型即可；国内已有 98% 差错自动处理的工程先例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DF3F2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数据可行性</w:t>
            </w:r>
          </w:p>
        </w:tc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DF3F2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中偏低</w:t>
            </w:r>
          </w:p>
        </w:tc>
        <w:tc>
          <w:tcPr>
            <w:tcW w:type="dxa" w:w="396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DF3F2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主编号完整率、时区冲突率尚未实测；这两个指标直接决定匹配率上限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DF3F2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先完成字段级质量校验回放（REQ-1）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组织可行性</w:t>
            </w:r>
          </w:p>
        </w:tc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中</w:t>
            </w:r>
          </w:p>
        </w:tc>
        <w:tc>
          <w:tcPr>
            <w:tcW w:type="dxa" w:w="396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跨岗交接规则未固化，转人工分派机制未定（f23 / f25 / f44）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书面确认分派与确认口径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/>
                <w:color w:val="1B2C46"/>
                <w:sz w:val="17"/>
              </w:rPr>
              <w:t>合规可行性</w:t>
            </w:r>
          </w:p>
        </w:tc>
        <w:tc>
          <w:tcPr>
            <w:tcW w:type="dxa" w:w="1134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高</w:t>
            </w:r>
          </w:p>
        </w:tc>
        <w:tc>
          <w:tcPr>
            <w:tcW w:type="dxa" w:w="3969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只读、无资金动作、双人复核与审计留痕可满足（f40 / f45）</w:t>
            </w:r>
          </w:p>
        </w:tc>
        <w:tc>
          <w:tcPr>
            <w:tcW w:type="dxa" w:w="2608"/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shd w:val="clear" w:color="auto" w:fill="F7F9FC"/>
          </w:tcPr>
          <w:p>
            <w:pPr>
              <w:spacing w:before="50" w:after="50" w:line="312" w:lineRule="auto"/>
            </w:pPr>
            <w:r/>
            <w:r>
              <w:rPr>
                <w:rFonts w:ascii="Segoe UI" w:hAnsi="Segoe UI" w:eastAsia="微软雅黑"/>
                <w:b w:val="0"/>
                <w:color w:val="1B2C46"/>
                <w:sz w:val="17"/>
              </w:rPr>
              <w:t>权限按岗位最小化落地</w:t>
            </w:r>
          </w:p>
        </w:tc>
      </w:tr>
    </w:tbl>
    <w:p>
      <w:pPr>
        <w:spacing w:after="40"/>
      </w:pPr>
    </w:p>
    <w:p>
      <w:pPr>
        <w:spacing w:before="40" w:after="200"/>
        <w:jc w:val="center"/>
      </w:pPr>
      <w:r>
        <w:rPr>
          <w:rFonts w:ascii="Segoe UI" w:hAnsi="Segoe UI" w:eastAsia="微软雅黑"/>
          <w:b w:val="0"/>
          <w:color w:val="5D6D84"/>
          <w:sz w:val="17"/>
        </w:rPr>
        <w:t>表 5  四维可行性判定</w:t>
      </w:r>
    </w:p>
    <w:p>
      <w:pPr>
        <w:spacing w:before="0" w:after="120" w:line="408" w:lineRule="auto"/>
        <w:ind w:firstLine="420"/>
      </w:pPr>
      <w:r>
        <w:rPr>
          <w:rFonts w:ascii="Times New Roman" w:hAnsi="Times New Roman" w:eastAsia="宋体"/>
          <w:b w:val="0"/>
          <w:color w:val="1B2C46"/>
          <w:sz w:val="21"/>
        </w:rPr>
        <w:t>综合结论：</w:t>
      </w:r>
      <w:r>
        <w:rPr>
          <w:rFonts w:ascii="Times New Roman" w:hAnsi="Times New Roman" w:eastAsia="宋体"/>
          <w:b/>
          <w:color w:val="1B2C46"/>
          <w:sz w:val="21"/>
        </w:rPr>
        <w:t>有条件可行</w:t>
      </w:r>
      <w:r>
        <w:rPr>
          <w:rFonts w:ascii="Times New Roman" w:hAnsi="Times New Roman" w:eastAsia="宋体"/>
          <w:b w:val="0"/>
          <w:color w:val="1B2C46"/>
          <w:sz w:val="21"/>
        </w:rPr>
        <w:t>。条件不是技术能力，而是三件事——口径先定义、质控先回放、边界先固化。</w:t>
      </w:r>
    </w:p>
    <w:p>
      <w:pPr>
        <w:spacing w:before="240" w:after="100"/>
      </w:pPr>
      <w:r>
        <w:rPr>
          <w:rFonts w:ascii="Segoe UI" w:hAnsi="Segoe UI" w:eastAsia="微软雅黑"/>
          <w:b/>
          <w:color w:val="1B2C46"/>
          <w:sz w:val="23"/>
        </w:rPr>
        <w:t>7.2 建议的三个动作（按顺序，不可并行）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动作一：测上限。</w:t>
      </w:r>
      <w:r>
        <w:rPr>
          <w:rFonts w:ascii="Times New Roman" w:hAnsi="Times New Roman" w:eastAsia="宋体"/>
          <w:b w:val="0"/>
          <w:color w:val="1B2C46"/>
          <w:sz w:val="21"/>
        </w:rPr>
        <w:t>取单个渠道近两周真实账单与流水，跑字段级校验清单，统计主编号缺失率、时区冲突笔数、进修复队列比例。这一步产出的不是准确率，而是</w:t>
      </w:r>
      <w:r>
        <w:rPr>
          <w:rFonts w:ascii="Times New Roman" w:hAnsi="Times New Roman" w:eastAsia="宋体"/>
          <w:b/>
          <w:color w:val="1B2C46"/>
          <w:sz w:val="21"/>
        </w:rPr>
        <w:t>匹配率的上限</w:t>
      </w:r>
      <w:r>
        <w:rPr>
          <w:rFonts w:ascii="Times New Roman" w:hAnsi="Times New Roman" w:eastAsia="宋体"/>
          <w:b w:val="0"/>
          <w:color w:val="1B2C46"/>
          <w:sz w:val="21"/>
        </w:rPr>
        <w:t>——如果 30% 的记录主编号不完整，任何算法都到不了 99.9%。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动作二：双口径复算。</w:t>
      </w:r>
      <w:r>
        <w:rPr>
          <w:rFonts w:ascii="Times New Roman" w:hAnsi="Times New Roman" w:eastAsia="宋体"/>
          <w:b w:val="0"/>
          <w:color w:val="1B2C46"/>
          <w:sz w:val="21"/>
        </w:rPr>
        <w:t>用同一批数据分别计算“覆盖率”与“准确率”，把两个数放进同一张表给顾明岚与傅景看。预期结果是覆盖率 85%–93%、准确率 99% 以上——这个组合恰好对应行业基准，也能解释为什么不能承诺 99.9% 的覆盖率。</w:t>
      </w:r>
    </w:p>
    <w:p>
      <w:pPr>
        <w:spacing w:after="80" w:line="384" w:lineRule="auto"/>
        <w:ind w:left="425" w:hanging="227"/>
      </w:pPr>
      <w:r>
        <w:rPr>
          <w:rFonts w:ascii="Times New Roman" w:hAnsi="Times New Roman" w:eastAsia="宋体"/>
          <w:b/>
          <w:color w:val="1A3A6B"/>
          <w:sz w:val="21"/>
        </w:rPr>
        <w:t xml:space="preserve">· </w:t>
      </w:r>
      <w:r>
        <w:rPr>
          <w:rFonts w:ascii="Times New Roman" w:hAnsi="Times New Roman" w:eastAsia="宋体"/>
          <w:b/>
          <w:color w:val="1B2C46"/>
          <w:sz w:val="21"/>
        </w:rPr>
        <w:t>动作三：校准预期。</w:t>
      </w:r>
      <w:r>
        <w:rPr>
          <w:rFonts w:ascii="Times New Roman" w:hAnsi="Times New Roman" w:eastAsia="宋体"/>
          <w:b w:val="0"/>
          <w:color w:val="1B2C46"/>
          <w:sz w:val="21"/>
        </w:rPr>
        <w:t>把表 2 的行业基准写进项目预期管理材料，明确“自动匹配率 89%–96% 是常态，例外率 4%–11% 是设计的一部分”。避免用覆盖率口径的承诺去承接准确率口径的验收。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F4F7FB"/>
            <w:tcBorders>
              <w:top w:val="single" w:sz="6" w:color="C9D6E6"/>
              <w:left w:val="single" w:sz="6" w:color="C9D6E6"/>
              <w:bottom w:val="single" w:sz="6" w:color="C9D6E6"/>
              <w:right w:val="single" w:sz="6" w:color="C9D6E6"/>
            </w:tcBorders>
          </w:tcPr>
          <w:p>
            <w:pPr>
              <w:spacing w:before="120" w:after="40"/>
            </w:pPr>
            <w:r/>
            <w:r>
              <w:rPr>
                <w:rFonts w:ascii="Segoe UI" w:hAnsi="Segoe UI" w:eastAsia="微软雅黑"/>
                <w:b/>
                <w:color w:val="1A3A6B"/>
                <w:sz w:val="20"/>
              </w:rPr>
              <w:t>对需求报告的回应</w:t>
            </w:r>
          </w:p>
          <w:p>
            <w:pPr>
              <w:spacing w:after="140" w:line="384" w:lineRule="auto"/>
            </w:pPr>
            <w:r>
              <w:rPr>
                <w:rFonts w:ascii="Times New Roman" w:hAnsi="Times New Roman" w:eastAsia="宋体"/>
                <w:b w:val="0"/>
                <w:color w:val="1B2C46"/>
                <w:sz w:val="20"/>
              </w:rPr>
              <w:t>需求报告 REQ-1 主张“先建质量校验再谈匹配优化”，本节数据给出了量化支撑：参考字段质量带来的匹配率差异达 15 个百分点，超过交易量、账户类型、行业等因素的影响。这条建议不是保守，而是行业数据支持的最优顺序。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8" w:space="4" w:color="1A3A6B"/>
        </w:pBdr>
      </w:pPr>
      <w:r>
        <w:rPr>
          <w:rFonts w:ascii="Segoe UI" w:hAnsi="Segoe UI" w:eastAsia="微软雅黑"/>
          <w:b/>
          <w:color w:val="1A3A6B"/>
          <w:sz w:val="30"/>
        </w:rPr>
        <w:t>八  参考资料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[1] 四川银行：新一代对账系统——数字运营引领流程优化与产品体验跃升. 金科创新社, 2025.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[2] BlackLine 2025 Transaction Matching Benchmarks（企业客户自动匹配率基准）.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[3] Trintech Cadency 2025 Customer Success Data（高低频账户匹配率对比）.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[4] Xero 2025 Internal Benchmarks（银行流水匹配建议率与采纳率）.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[5] Levvel Research 2025：支付处理商结算数据匹配率研究.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[6] AFP 2025 Payments Survey（境内/跨境支付例外率）.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[7] IOFM 2025 State of AP（付款匹配直通率基准）.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[8] J.P. Morgan 2025 Treasury Services Benchmarking（400 位财资负责人调研）.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[9] Gartner 2025 CFO and Finance Technology Survey（对账 AI 投入与落地比例）.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[10] HighRadius：Bank / Credit Card Reconciliation Software 产品基准页, 2025.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[11] 新华网：邮储银行遵义市分行“收款伴侣”智能对账系统案例, 2025-12.</w:t>
      </w:r>
    </w:p>
    <w:p>
      <w:pPr>
        <w:spacing w:after="60" w:line="360" w:lineRule="auto"/>
        <w:ind w:left="510" w:hanging="510"/>
      </w:pPr>
      <w:r>
        <w:rPr>
          <w:rFonts w:ascii="Times New Roman" w:hAnsi="Times New Roman" w:eastAsia="宋体"/>
          <w:b w:val="0"/>
          <w:color w:val="5D6D84"/>
          <w:sz w:val="18"/>
        </w:rPr>
        <w:t>[12] 支付结算系统资金流水自动对账的底层逻辑与实战解析, 2025.</w:t>
      </w:r>
    </w:p>
    <w:p>
      <w:pPr>
        <w:spacing w:before="160" w:after="120" w:line="408" w:lineRule="auto"/>
      </w:pPr>
      <w:r>
        <w:rPr>
          <w:rFonts w:ascii="Times New Roman" w:hAnsi="Times New Roman" w:eastAsia="宋体"/>
          <w:b w:val="0"/>
          <w:color w:val="5D6D84"/>
          <w:sz w:val="18"/>
        </w:rPr>
        <w:t>说明：以上均为公开资料，统计口径互不相同，本文引用仅用于判断行业区间与量级，未做二次测算。涉及本项目的基线数据（80 万笔/日、5 小时、6 小时、26 万元预算等）均来自业务需求发现报告的事实编号，属访谈口径，尚未经实测验证。</w:t>
      </w:r>
    </w:p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color w:val="5D6D84"/>
        <w:sz w:val="16"/>
      </w:rPr>
      <w:t xml:space="preserve">支付对账与差错追踪 · 行业分析    第 </w:t>
    </w:r>
    <w:fldSimple w:instr="PAGE">
      <w:r>
        <w:rPr>
          <w:sz w:val="16"/>
        </w:rPr>
        <w:t>1</w:t>
      </w:r>
    </w:fldSimple>
    <w:r>
      <w:rPr>
        <w:rFonts w:ascii="Segoe UI" w:hAnsi="Segoe UI" w:eastAsia="微软雅黑"/>
        <w:b w:val="0"/>
        <w:color w:val="5D6D84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