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192" w:line="384"/>
        <w:ind w:left="0" w:right="0"/>
        <w:jc w:val="left"/>
        <w:rPr>
          <w:color w:val="1a5fb4"/>
        </w:rPr>
      </w:pPr>
      <w:r>
        <w:rPr>
          <w:rFonts w:hint="eastAsia" w:ascii="黑体" w:hAnsi="黑体" w:eastAsia="黑体" w:cs="黑体"/>
          <w:b w:val="1"/>
          <w:color w:val="1a5fb4"/>
          <w:spacing w:val="19"/>
          <w:sz w:val="28"/>
        </w:rPr>
        <w:t>行业分析报告</w:t>
      </w:r>
    </w:p>
    <w:p w14:paraId="00000002">
      <w:pPr>
        <w:pStyle w:val="000001"/>
        <w:keepNext w:val="1"/>
        <w:keepLines w:val="1"/>
        <w:spacing w:before="0" w:beforeAutospacing="1" w:after="120" w:afterAutospacing="1" w:line="384"/>
        <w:ind w:left="0" w:right="0"/>
        <w:outlineLvl w:val="0"/>
        <w:rPr>
          <w:color w:val="1a5fb4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5fb4"/>
          <w:sz w:val="56"/>
        </w:rPr>
        <w:t>高校科研实验室管理系统</w:t>
      </w:r>
    </w:p>
    <w:p w14:paraId="00000003">
      <w:pPr>
        <w:spacing w:before="0" w:after="480" w:line="384"/>
        <w:ind w:left="0" w:right="0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30"/>
        </w:rPr>
        <w:t>市场现状 · 竞争格局 · 机会点分析</w:t>
      </w:r>
    </w:p>
    <w:p w14:paraId="00000004">
      <w:pPr>
        <w:spacing w:before="0" w:after="0" w:line="384"/>
        <w:ind w:left="0" w:right="0"/>
        <w:rPr>
          <w:color w:val="555555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55555"/>
          <w:sz w:val="20"/>
        </w:rPr>
        <w:t>配套文档：01-业务挖掘-需求分析 ｜ 2026-10-29 ｜ v1.0</w:t>
      </w:r>
    </w:p>
    <w:p w14:paraId="00000005">
      <w:pPr>
        <w:spacing w:before="240" w:after="120"/>
      </w:pPr>
      <w:r>
        <w:rPr>
          <w:rFonts w:hint="eastAsia"/>
          <w:b w:val="1"/>
        </w:rPr>
        <w:t>目录</w:t>
      </w:r>
    </w:p>
    <w:p w14:paraId="00000006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"s-1"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7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"s-2" </w:instrText>
      </w:r>
      <w:r>
        <w:fldChar w:fldCharType="separate" w:fldLock="0" w:dirty="0"/>
      </w:r>
      <w:r>
        <w:rPr>
          <w:rFonts w:hint="eastAsia"/>
        </w:rPr>
        <w:t>一、市场规模与发展阶段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"s-3" </w:instrText>
      </w:r>
      <w:r>
        <w:fldChar w:fldCharType="separate" w:fldLock="0" w:dirty="0"/>
      </w:r>
      <w:r>
        <w:rPr>
          <w:rFonts w:hint="eastAsia"/>
        </w:rPr>
        <w:t>二、政策环境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"s-4" </w:instrText>
      </w:r>
      <w:r>
        <w:fldChar w:fldCharType="separate" w:fldLock="0" w:dirty="0"/>
      </w:r>
      <w:r>
        <w:rPr>
          <w:rFonts w:hint="eastAsia"/>
        </w:rPr>
        <w:t>三、竞争格局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"s-5" </w:instrText>
      </w:r>
      <w:r>
        <w:fldChar w:fldCharType="separate" w:fldLock="0" w:dirty="0"/>
      </w:r>
      <w:r>
        <w:rPr>
          <w:rFonts w:hint="eastAsia"/>
        </w:rPr>
        <w:t>四、用户痛点与需求趋势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"s-6" </w:instrText>
      </w:r>
      <w:r>
        <w:fldChar w:fldCharType="separate" w:fldLock="0" w:dirty="0"/>
      </w:r>
      <w:r>
        <w:rPr>
          <w:rFonts w:hint="eastAsia"/>
        </w:rPr>
        <w:t>五、技术趋势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"s-7" </w:instrText>
      </w:r>
      <w:r>
        <w:fldChar w:fldCharType="separate" w:fldLock="0" w:dirty="0"/>
      </w:r>
      <w:r>
        <w:rPr>
          <w:rFonts w:hint="eastAsia"/>
        </w:rPr>
        <w:t>六、机会点与切入策略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5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"s-8" </w:instrText>
      </w:r>
      <w:r>
        <w:fldChar w:fldCharType="separate" w:fldLock="0" w:dirty="0"/>
      </w:r>
      <w:r>
        <w:rPr>
          <w:rFonts w:hint="eastAsia"/>
        </w:rPr>
        <w:t>结语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0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0F">
      <w:pPr>
        <w:pStyle w:val="000004"/>
        <w:keepNext w:val="1"/>
        <w:keepLines w:val="1"/>
        <w:pBdr>
          <w:left w:val="single" w:color="1a5fb4" w:sz="24"/>
        </w:pBdr>
        <w:shd w:val="clear" w:fill="f2f6fb"/>
        <w:spacing w:before="384" w:beforeAutospacing="1" w:after="192" w:afterAutospacing="1" w:line="384"/>
        <w:ind w:left="1417" w:right="1417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执行摘要</w:t>
      </w:r>
    </w:p>
    <w:p w14:paraId="00000010">
      <w:pPr>
        <w:pBdr>
          <w:left w:val="single" w:color="1a5fb4" w:sz="24"/>
        </w:pBdr>
        <w:shd w:val="clear" w:fill="f2f6fb"/>
        <w:spacing w:before="384" w:after="192" w:line="384"/>
        <w:ind w:left="1417" w:right="1417"/>
        <w:rPr>
          <w:color w:val="000000"/>
        </w:rPr>
      </w:pPr>
      <w:r>
        <w:rPr>
          <w:rFonts w:ascii="宋体" w:hAnsi="宋体" w:eastAsia="宋体" w:cs="宋体"/>
          <w:i w:val="1"/>
          <w:color w:val="555555"/>
          <w:sz w:val="20"/>
        </w:rPr>
        <w:t>Executive Summary</w:t>
      </w:r>
    </w:p>
    <w:p w14:paraId="00000011">
      <w:pPr>
        <w:pBdr>
          <w:left w:val="single" w:color="1a5fb4" w:sz="24"/>
        </w:pBdr>
        <w:shd w:val="clear" w:fill="f2f6fb"/>
        <w:spacing w:before="384" w:after="192" w:line="384"/>
        <w:ind w:left="1417" w:right="1417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本报告面向高校科研实验室管理系统（LIMS）这一细分赛道，从市场规模、政策环境、竞争格局、用户痛点、技术趋势与机会点六个维度展开分析。核心结论：中国实验室管理软件市场正处于「国产替代 + 教育数字化」双重驱动的上升期，高校科研实验室这一细分场景存在「通用 OA 不适配、重型商用 LIMS 太贵太重」的供给断层，为轻量化、场景化、数智化的一体化解决方案提供了明确的市场机会。</w:t>
      </w:r>
    </w:p>
    <w:p w14:paraId="00000012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1" w:name="s-1"/>
      <w:r>
        <w:rPr>
          <w:rFonts w:hint="eastAsia" w:ascii="黑体" w:hAnsi="黑体" w:eastAsia="黑体" w:cs="黑体"/>
          <w:b w:val="1"/>
          <w:color w:val="000000"/>
          <w:sz w:val="36"/>
        </w:rPr>
        <w:t>摘要</w:t>
      </w:r>
      <w:bookmarkEnd w:id="1"/>
    </w:p>
    <w:p w14:paraId="00000013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本报告面向高校科研实验室管理系统（Laboratory Information Management System，LMS）这一细分赛道，从市场规模、政策环境、竞争格局、用户痛点、技术趋势与机会点六个维度展开分析。核心结论：中国实验室管理软件市场正处于「国产替代 + 教育数字化」双重驱动的上升期，高校科研实验室这一细分场景存在「通用 OA 不适配、重型商用 LIMS 太贵太重」的供给断层，为轻量化、场景化、数智化的一体化解决方案提供了明确的市场机会。</w:t>
      </w:r>
    </w:p>
    <w:p w14:paraId="00000014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2" w:name="s-2"/>
      <w:r>
        <w:rPr>
          <w:rFonts w:hint="eastAsia" w:ascii="黑体" w:hAnsi="黑体" w:eastAsia="黑体" w:cs="黑体"/>
          <w:b w:val="1"/>
          <w:color w:val="000000"/>
          <w:sz w:val="36"/>
        </w:rPr>
        <w:t>一、市场规模与发展阶段</w:t>
      </w:r>
      <w:bookmarkEnd w:id="2"/>
    </w:p>
    <w:p w14:paraId="00000015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1.1 全球市场</w:t>
      </w:r>
    </w:p>
    <w:p w14:paraId="00000016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全球实验室信息管理系统（LIMS）市场规模在 2025 年约 29 亿美元，预计到 2035 年增长至 58 亿美元，年均复合增长率（CAGR）约 7.2%。其中，专门面向学术科研机构（Academia）的 LIMS 细分市场在 2025 年约 12 亿美元，预计 2034 年达 22 亿美元，CAGR 约 7.8%。云化部署占比已超过 60%，是当前主流形态。</w:t>
      </w:r>
    </w:p>
    <w:p w14:paraId="00000017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1.2 中国市场</w:t>
      </w:r>
    </w:p>
    <w:p w14:paraId="00000018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据行业研究机构数据，2024 年中国 LIMS 市场规模已突破 50 亿元人民币，预计 2025 年达到 60 亿元左右，年均增长率保持在 15% 以上，显著高于全球平均增速。增长动力主要来自三方面：</w:t>
      </w:r>
    </w:p>
    <w:p w14:paraId="00000019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政策支持</w:t>
      </w:r>
      <w:r>
        <w:rPr>
          <w:rFonts w:hint="eastAsia" w:ascii="宋体" w:hAnsi="宋体" w:eastAsia="宋体" w:cs="宋体"/>
          <w:color w:val="000000"/>
          <w:sz w:val="24"/>
        </w:rPr>
        <w:t>：《"十四五"国家科技创新规划》明确提出加强科研基础设施与信息化建设；</w:t>
      </w:r>
    </w:p>
    <w:p w14:paraId="0000001A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下游需求旺盛</w:t>
      </w:r>
      <w:r>
        <w:rPr>
          <w:rFonts w:hint="eastAsia" w:ascii="宋体" w:hAnsi="宋体" w:eastAsia="宋体" w:cs="宋体"/>
          <w:color w:val="000000"/>
          <w:sz w:val="24"/>
        </w:rPr>
        <w:t>：制药、生物技术、环境检测、高校科研等领域对实验室信息化需求明显增加；</w:t>
      </w:r>
    </w:p>
    <w:p w14:paraId="0000001B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国产替代加速</w:t>
      </w:r>
      <w:r>
        <w:rPr>
          <w:rFonts w:hint="eastAsia" w:ascii="宋体" w:hAnsi="宋体" w:eastAsia="宋体" w:cs="宋体"/>
          <w:color w:val="000000"/>
          <w:sz w:val="24"/>
        </w:rPr>
        <w:t>：过去高端市场长期被赛默飞（Thermo Fisher）、沃特世（Waters）等国际厂商占据，本土厂商凭借本地化服务、定制化开发与价格优势，国产替代趋势明显加快。</w:t>
      </w:r>
    </w:p>
    <w:p w14:paraId="0000001C">
      <w:pPr>
        <w:spacing w:before="0" w:after="192" w:line="384"/>
        <w:ind w:left="0" w:right="0" w:firstLine="480"/>
        <w:jc w:val="both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注：以上市场数据基于公开行业研究，属非实时数据，具体以最新官方披露为准。</w:t>
      </w:r>
    </w:p>
    <w:p w14:paraId="0000001D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1.3 发展阶段判断</w:t>
      </w:r>
    </w:p>
    <w:p w14:paraId="0000001E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高校科研实验室管理市场整体处于「成长期早中期」：头部院校已开始试点智慧实验室建设，但多数院校仍停留在半数字化、半人工管理状态。这意味着市场教育成本仍较高，但先发者可通过标杆案例建立品牌壁垒。</w:t>
      </w:r>
    </w:p>
    <w:p w14:paraId="0000001F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3" w:name="s-3"/>
      <w:r>
        <w:rPr>
          <w:rFonts w:hint="eastAsia" w:ascii="黑体" w:hAnsi="黑体" w:eastAsia="黑体" w:cs="黑体"/>
          <w:b w:val="1"/>
          <w:color w:val="000000"/>
          <w:sz w:val="36"/>
        </w:rPr>
        <w:t>二、政策环境</w:t>
      </w:r>
      <w:bookmarkEnd w:id="3"/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2f6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政策 / 规范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2f6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核心要求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2f6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对系统的牵引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教育数字化战略行动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推动教育治理数字化转型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实验室管理需纳入智慧校园体系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教育部实验室安全规范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建立闭环安全管理机制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危化品全生命周期追溯、人员安全准入、隐患排查整改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实验室安全专项检查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常态化监管、资料备查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系统需支持审计留痕、报表导出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科研经费包干制等改革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流程简化、材料精简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系统需快速适配政策变更，避免双轨制</w:t>
            </w:r>
          </w:p>
        </w:tc>
      </w:tr>
    </w:tbl>
    <w:p w14:paraId="0000002F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政策是高校实验室信息化的首要驱动力。特别是安全合规要求，人工手段难以满足「常态化监管、资料备查、专项检查」的硬性要求，一体化管理系统已成为刚需。</w:t>
      </w:r>
    </w:p>
    <w:p w14:paraId="00000030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4" w:name="s-4"/>
      <w:r>
        <w:rPr>
          <w:rFonts w:hint="eastAsia" w:ascii="黑体" w:hAnsi="黑体" w:eastAsia="黑体" w:cs="黑体"/>
          <w:b w:val="1"/>
          <w:color w:val="000000"/>
          <w:sz w:val="36"/>
        </w:rPr>
        <w:t>三、竞争格局</w:t>
      </w:r>
      <w:bookmarkEnd w:id="4"/>
    </w:p>
    <w:p w14:paraId="00000031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3.1 整体格局</w:t>
      </w:r>
    </w:p>
    <w:p w14:paraId="00000032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中国实验室管理软件市场呈现「一超多强、百花齐放」的特点：</w:t>
      </w:r>
    </w:p>
    <w:p w14:paraId="00000033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国际厂商</w:t>
      </w:r>
      <w:r>
        <w:rPr>
          <w:rFonts w:hint="eastAsia" w:ascii="宋体" w:hAnsi="宋体" w:eastAsia="宋体" w:cs="宋体"/>
          <w:color w:val="000000"/>
          <w:sz w:val="24"/>
        </w:rPr>
        <w:t>：赛默飞、沃特世、Agilent 等占据高端市场，产品成熟、全球服务能力强，但价格高昂、本地化响应慢、操作复杂；</w:t>
      </w:r>
    </w:p>
    <w:p w14:paraId="00000034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本土企业</w:t>
      </w:r>
      <w:r>
        <w:rPr>
          <w:rFonts w:hint="eastAsia" w:ascii="宋体" w:hAnsi="宋体" w:eastAsia="宋体" w:cs="宋体"/>
          <w:color w:val="000000"/>
          <w:sz w:val="24"/>
        </w:rPr>
        <w:t>：盛元广通、博科资讯、科威尔、中科曙光等快速崛起，主打本地化服务与定制化开发，占据中端市场；</w:t>
      </w:r>
    </w:p>
    <w:p w14:paraId="00000035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新兴科技企业</w:t>
      </w:r>
      <w:r>
        <w:rPr>
          <w:rFonts w:hint="eastAsia" w:ascii="宋体" w:hAnsi="宋体" w:eastAsia="宋体" w:cs="宋体"/>
          <w:color w:val="000000"/>
          <w:sz w:val="24"/>
        </w:rPr>
        <w:t>：云计算、大数据、AI 技术成熟后，越来越多科技企业跨界进入，推动行业向智能化、平台化发展。</w:t>
      </w:r>
    </w:p>
    <w:p w14:paraId="00000036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3.2 高校科研场景的供给断层</w:t>
      </w:r>
    </w:p>
    <w:p w14:paraId="00000037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针对高校科研实验室这一细分场景，存在明显的供给断层：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2f6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2f6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代表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2f6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优势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2f6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劣势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通用 OA / 办公系统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各类通用审批流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部署简单、成本低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无法适配仪器预约、危化品、科研数据等专业场景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简易预约工具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各类预约小程序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上手快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功能单一，无数据归档、无安全管控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重型商用 LIMS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赛默飞、沃特世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功能全面、合规完善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价格高昂、部署复杂、需专职运维，不适配高校轻量化需求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高校专属 LMS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盛元广通等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场景贴合、本地化好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000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仍偏重，中小院校预算受限</w:t>
            </w:r>
          </w:p>
        </w:tc>
      </w:tr>
    </w:tbl>
    <w:p w14:paraId="0000004C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这一「通用工具不够用、重型系统用不起」的断层，正是本项目定位的切入点。</w:t>
      </w:r>
    </w:p>
    <w:p w14:paraId="0000004D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3.3 竞品亮点借鉴</w:t>
      </w:r>
    </w:p>
    <w:p w14:paraId="0000004E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以盛元广通高校科研 LIMS 为例，其核心打法值得借鉴：</w:t>
      </w:r>
    </w:p>
    <w:p w14:paraId="0000004F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大仪共享</w:t>
      </w:r>
      <w:r>
        <w:rPr>
          <w:rFonts w:hint="eastAsia" w:ascii="宋体" w:hAnsi="宋体" w:eastAsia="宋体" w:cs="宋体"/>
          <w:color w:val="000000"/>
          <w:sz w:val="24"/>
        </w:rPr>
        <w:t>：线上预约 + 冲突校验 + 刷卡上机 + 时长统计 + 维保预警，最大化盘活硬件资源；</w:t>
      </w:r>
    </w:p>
    <w:p w14:paraId="00000050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科研数据归档</w:t>
      </w:r>
      <w:r>
        <w:rPr>
          <w:rFonts w:hint="eastAsia" w:ascii="宋体" w:hAnsi="宋体" w:eastAsia="宋体" w:cs="宋体"/>
          <w:color w:val="000000"/>
          <w:sz w:val="24"/>
        </w:rPr>
        <w:t>：按课题组/项目建立数字化档案，云端加密留痕，人员流动不流失；</w:t>
      </w:r>
    </w:p>
    <w:p w14:paraId="00000051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危化品全流程追溯</w:t>
      </w:r>
      <w:r>
        <w:rPr>
          <w:rFonts w:hint="eastAsia" w:ascii="宋体" w:hAnsi="宋体" w:eastAsia="宋体" w:cs="宋体"/>
          <w:color w:val="000000"/>
          <w:sz w:val="24"/>
        </w:rPr>
        <w:t>：采购→入库→领用→使用→废弃全链路管控。</w:t>
      </w:r>
    </w:p>
    <w:p w14:paraId="00000052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5" w:name="s-5"/>
      <w:r>
        <w:rPr>
          <w:rFonts w:hint="eastAsia" w:ascii="黑体" w:hAnsi="黑体" w:eastAsia="黑体" w:cs="黑体"/>
          <w:b w:val="1"/>
          <w:color w:val="000000"/>
          <w:sz w:val="36"/>
        </w:rPr>
        <w:t>四、用户痛点与需求趋势</w:t>
      </w:r>
      <w:bookmarkEnd w:id="5"/>
    </w:p>
    <w:p w14:paraId="00000053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综合多份行业调研，高校科研实验室管理的核心痛点可归纳为五类（详见《01-业务挖掘-需求分析.md》）：</w:t>
      </w:r>
    </w:p>
    <w:p w14:paraId="00000054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资源浪费</w:t>
      </w:r>
      <w:r>
        <w:rPr>
          <w:rFonts w:hint="eastAsia" w:ascii="宋体" w:hAnsi="宋体" w:eastAsia="宋体" w:cs="宋体"/>
          <w:color w:val="000000"/>
          <w:sz w:val="24"/>
        </w:rPr>
        <w:t>：大型精密仪器闲置与超负荷并存，预约冲突、私自上机、无人监管；</w:t>
      </w:r>
    </w:p>
    <w:p w14:paraId="00000055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数据流失</w:t>
      </w:r>
      <w:r>
        <w:rPr>
          <w:rFonts w:hint="eastAsia" w:ascii="宋体" w:hAnsi="宋体" w:eastAsia="宋体" w:cs="宋体"/>
          <w:color w:val="000000"/>
          <w:sz w:val="24"/>
        </w:rPr>
        <w:t>：科研数据散落在个人设备，人员流动导致多年心血永久流失；</w:t>
      </w:r>
    </w:p>
    <w:p w14:paraId="00000056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安全隐患</w:t>
      </w:r>
      <w:r>
        <w:rPr>
          <w:rFonts w:hint="eastAsia" w:ascii="宋体" w:hAnsi="宋体" w:eastAsia="宋体" w:cs="宋体"/>
          <w:color w:val="000000"/>
          <w:sz w:val="24"/>
        </w:rPr>
        <w:t>：危化品管控松散、追溯缺失，不符合安全检查标准；</w:t>
      </w:r>
    </w:p>
    <w:p w14:paraId="00000057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决策粗放</w:t>
      </w:r>
      <w:r>
        <w:rPr>
          <w:rFonts w:hint="eastAsia" w:ascii="宋体" w:hAnsi="宋体" w:eastAsia="宋体" w:cs="宋体"/>
          <w:color w:val="000000"/>
          <w:sz w:val="24"/>
        </w:rPr>
        <w:t>：数据分散，采购、维保、空间规划依赖经验判断；</w:t>
      </w:r>
    </w:p>
    <w:p w14:paraId="00000058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人才短板</w:t>
      </w:r>
      <w:r>
        <w:rPr>
          <w:rFonts w:hint="eastAsia" w:ascii="宋体" w:hAnsi="宋体" w:eastAsia="宋体" w:cs="宋体"/>
          <w:color w:val="000000"/>
          <w:sz w:val="24"/>
        </w:rPr>
        <w:t>：管理人员数智能力不足，难以将技术与业务深度融合。</w:t>
      </w:r>
    </w:p>
    <w:p w14:paraId="00000059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需求趋势上，正从「重管理、轻服务」向「数据驱动、智能管控、协同高效、服务优质」转变。</w:t>
      </w:r>
    </w:p>
    <w:p w14:paraId="0000005A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6" w:name="s-6"/>
      <w:r>
        <w:rPr>
          <w:rFonts w:hint="eastAsia" w:ascii="黑体" w:hAnsi="黑体" w:eastAsia="黑体" w:cs="黑体"/>
          <w:b w:val="1"/>
          <w:color w:val="000000"/>
          <w:sz w:val="36"/>
        </w:rPr>
        <w:t>五、技术趋势</w:t>
      </w:r>
      <w:bookmarkEnd w:id="6"/>
    </w:p>
    <w:p w14:paraId="0000005B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云化与 SaaS</w:t>
      </w:r>
      <w:r>
        <w:rPr>
          <w:rFonts w:hint="eastAsia" w:ascii="宋体" w:hAnsi="宋体" w:eastAsia="宋体" w:cs="宋体"/>
          <w:color w:val="000000"/>
          <w:sz w:val="24"/>
        </w:rPr>
        <w:t>：云部署因成本低、可扩展、远程访问成为主流（占比已超 60%），降低中小院校上系统门槛；</w:t>
      </w:r>
    </w:p>
    <w:p w14:paraId="0000005C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移动化</w:t>
      </w:r>
      <w:r>
        <w:rPr>
          <w:rFonts w:hint="eastAsia" w:ascii="宋体" w:hAnsi="宋体" w:eastAsia="宋体" w:cs="宋体"/>
          <w:color w:val="000000"/>
          <w:sz w:val="24"/>
        </w:rPr>
        <w:t>：PC + 小程序双端，师生随时随地预约、记录、查询；</w:t>
      </w:r>
    </w:p>
    <w:p w14:paraId="0000005D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AI 与大数据</w:t>
      </w:r>
      <w:r>
        <w:rPr>
          <w:rFonts w:hint="eastAsia" w:ascii="宋体" w:hAnsi="宋体" w:eastAsia="宋体" w:cs="宋体"/>
          <w:color w:val="000000"/>
          <w:sz w:val="24"/>
        </w:rPr>
        <w:t>：预测工作流瓶颈、优化资源配置、设备故障预警、数据分析辅助决策；</w:t>
      </w:r>
    </w:p>
    <w:p w14:paraId="0000005E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电子实验记录本（ELN）融合</w:t>
      </w:r>
      <w:r>
        <w:rPr>
          <w:rFonts w:hint="eastAsia" w:ascii="宋体" w:hAnsi="宋体" w:eastAsia="宋体" w:cs="宋体"/>
          <w:color w:val="000000"/>
          <w:sz w:val="24"/>
        </w:rPr>
        <w:t>：ELN 正加速渗透学术机构，与 LIMS 融合形成统一科研数据生态；</w:t>
      </w:r>
    </w:p>
    <w:p w14:paraId="0000005F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低代码 / 可配置</w:t>
      </w:r>
      <w:r>
        <w:rPr>
          <w:rFonts w:hint="eastAsia" w:ascii="宋体" w:hAnsi="宋体" w:eastAsia="宋体" w:cs="宋体"/>
          <w:color w:val="000000"/>
          <w:sz w:val="24"/>
        </w:rPr>
        <w:t>：适配政策快速变更，避免「技术债」导致的系统衰减。</w:t>
      </w:r>
    </w:p>
    <w:p w14:paraId="00000060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7" w:name="s-7"/>
      <w:r>
        <w:rPr>
          <w:rFonts w:hint="eastAsia" w:ascii="黑体" w:hAnsi="黑体" w:eastAsia="黑体" w:cs="黑体"/>
          <w:b w:val="1"/>
          <w:color w:val="000000"/>
          <w:sz w:val="36"/>
        </w:rPr>
        <w:t>六、机会点与切入策略</w:t>
      </w:r>
      <w:bookmarkEnd w:id="7"/>
    </w:p>
    <w:p w14:paraId="00000061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6.1 市场机会</w:t>
      </w:r>
    </w:p>
    <w:p w14:paraId="00000062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轻量化一体化</w:t>
      </w:r>
      <w:r>
        <w:rPr>
          <w:rFonts w:hint="eastAsia" w:ascii="宋体" w:hAnsi="宋体" w:eastAsia="宋体" w:cs="宋体"/>
          <w:color w:val="000000"/>
          <w:sz w:val="24"/>
        </w:rPr>
        <w:t>：面向无专职 IT 运维、预算有限的高校院系，提供「开箱即用」的一体化方案，避开重型 LIMS 的部署门槛；</w:t>
      </w:r>
    </w:p>
    <w:p w14:paraId="00000063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场景深度打磨</w:t>
      </w:r>
      <w:r>
        <w:rPr>
          <w:rFonts w:hint="eastAsia" w:ascii="宋体" w:hAnsi="宋体" w:eastAsia="宋体" w:cs="宋体"/>
          <w:color w:val="000000"/>
          <w:sz w:val="24"/>
        </w:rPr>
        <w:t>：聚焦「大仪共享 + 科研数据归档」两大高频刚需，先跑通核心闭环；</w:t>
      </w:r>
    </w:p>
    <w:p w14:paraId="00000064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数据价值变现</w:t>
      </w:r>
      <w:r>
        <w:rPr>
          <w:rFonts w:hint="eastAsia" w:ascii="宋体" w:hAnsi="宋体" w:eastAsia="宋体" w:cs="宋体"/>
          <w:color w:val="000000"/>
          <w:sz w:val="24"/>
        </w:rPr>
        <w:t>：以统一数据看板切入管理决策，向上游管理层延伸；</w:t>
      </w:r>
    </w:p>
    <w:p w14:paraId="00000065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合规刚需</w:t>
      </w:r>
      <w:r>
        <w:rPr>
          <w:rFonts w:hint="eastAsia" w:ascii="宋体" w:hAnsi="宋体" w:eastAsia="宋体" w:cs="宋体"/>
          <w:color w:val="000000"/>
          <w:sz w:val="24"/>
        </w:rPr>
        <w:t>：紧贴安全准入、危化品追溯等政策硬性要求，以合规撬动采购。</w:t>
      </w:r>
    </w:p>
    <w:p w14:paraId="00000066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6.2 差异化定位</w:t>
      </w:r>
    </w:p>
    <w:p w14:paraId="00000067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本项目定位为「</w:t>
      </w:r>
      <w:r>
        <w:rPr>
          <w:rFonts w:hint="eastAsia" w:ascii="宋体" w:hAnsi="宋体" w:eastAsia="宋体" w:cs="宋体"/>
          <w:b w:val="1"/>
          <w:color w:val="000000"/>
          <w:sz w:val="24"/>
        </w:rPr>
        <w:t>高校科研实验室轻量化数智管理系统</w:t>
      </w:r>
      <w:r>
        <w:rPr>
          <w:rFonts w:hint="eastAsia" w:ascii="宋体" w:hAnsi="宋体" w:eastAsia="宋体" w:cs="宋体"/>
          <w:color w:val="000000"/>
          <w:sz w:val="24"/>
        </w:rPr>
        <w:t>」，核心差异化：</w:t>
      </w:r>
    </w:p>
    <w:p w14:paraId="00000068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轻</w:t>
      </w:r>
      <w:r>
        <w:rPr>
          <w:rFonts w:hint="eastAsia" w:ascii="宋体" w:hAnsi="宋体" w:eastAsia="宋体" w:cs="宋体"/>
          <w:color w:val="000000"/>
          <w:sz w:val="24"/>
        </w:rPr>
        <w:t>：SaaS 云部署，无需专职运维，快速上线；</w:t>
      </w:r>
    </w:p>
    <w:p w14:paraId="00000069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专</w:t>
      </w:r>
      <w:r>
        <w:rPr>
          <w:rFonts w:hint="eastAsia" w:ascii="宋体" w:hAnsi="宋体" w:eastAsia="宋体" w:cs="宋体"/>
          <w:color w:val="000000"/>
          <w:sz w:val="24"/>
        </w:rPr>
        <w:t>：深入高校科研场景，而非通用 OA 的简单移植；</w:t>
      </w:r>
    </w:p>
    <w:p w14:paraId="0000006A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智</w:t>
      </w:r>
      <w:r>
        <w:rPr>
          <w:rFonts w:hint="eastAsia" w:ascii="宋体" w:hAnsi="宋体" w:eastAsia="宋体" w:cs="宋体"/>
          <w:color w:val="000000"/>
          <w:sz w:val="24"/>
        </w:rPr>
        <w:t>：内置数据看板与 AI 辅助，从「记录」走向「洞察」；</w:t>
      </w:r>
    </w:p>
    <w:p w14:paraId="0000006B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省</w:t>
      </w:r>
      <w:r>
        <w:rPr>
          <w:rFonts w:hint="eastAsia" w:ascii="宋体" w:hAnsi="宋体" w:eastAsia="宋体" w:cs="宋体"/>
          <w:color w:val="000000"/>
          <w:sz w:val="24"/>
        </w:rPr>
        <w:t>：成本可控，适配中小院校与院系级预算。</w:t>
      </w:r>
    </w:p>
    <w:p w14:paraId="0000006C">
      <w:pPr>
        <w:pStyle w:val="000003"/>
        <w:keepNext w:val="1"/>
        <w:keepLines w:val="1"/>
        <w:spacing w:before="192" w:beforeAutospacing="1" w:after="192" w:afterAutospacing="1" w:line="384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6.3 风险提示</w:t>
      </w:r>
    </w:p>
    <w:p w14:paraId="0000006D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市场教育成本</w:t>
      </w:r>
      <w:r>
        <w:rPr>
          <w:rFonts w:hint="eastAsia" w:ascii="宋体" w:hAnsi="宋体" w:eastAsia="宋体" w:cs="宋体"/>
          <w:color w:val="000000"/>
          <w:sz w:val="24"/>
        </w:rPr>
        <w:t>：部分院校对信息化价值认知不足，销售周期较长；</w:t>
      </w:r>
    </w:p>
    <w:p w14:paraId="0000006E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数据安全与隐私</w:t>
      </w:r>
      <w:r>
        <w:rPr>
          <w:rFonts w:hint="eastAsia" w:ascii="宋体" w:hAnsi="宋体" w:eastAsia="宋体" w:cs="宋体"/>
          <w:color w:val="000000"/>
          <w:sz w:val="24"/>
        </w:rPr>
        <w:t>：科研数据涉密，需满足数据主权与合规要求；</w:t>
      </w:r>
    </w:p>
    <w:p w14:paraId="0000006F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政策适配风险</w:t>
      </w:r>
      <w:r>
        <w:rPr>
          <w:rFonts w:hint="eastAsia" w:ascii="宋体" w:hAnsi="宋体" w:eastAsia="宋体" w:cs="宋体"/>
          <w:color w:val="000000"/>
          <w:sz w:val="24"/>
        </w:rPr>
        <w:t>：教育政策迭代快，系统需保持灵活的配置能力；</w:t>
      </w:r>
    </w:p>
    <w:p w14:paraId="00000070">
      <w:pPr>
        <w:numPr>
          <w:ilvl w:val="0"/>
          <w:numId w:val="1"/>
        </w:numPr>
        <w:spacing w:before="0" w:after="72" w:line="384"/>
        <w:ind w:left="480" w:right="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竞品挤压</w:t>
      </w:r>
      <w:r>
        <w:rPr>
          <w:rFonts w:hint="eastAsia" w:ascii="宋体" w:hAnsi="宋体" w:eastAsia="宋体" w:cs="宋体"/>
          <w:color w:val="000000"/>
          <w:sz w:val="24"/>
        </w:rPr>
        <w:t>：盛元广通等先发者已有标杆案例，新进入者需在细分场景建立差异化优势。</w:t>
      </w:r>
    </w:p>
    <w:p w14:paraId="00000071">
      <w:pPr>
        <w:pStyle w:val="000004"/>
        <w:keepNext w:val="1"/>
        <w:keepLines w:val="1"/>
        <w:spacing w:before="384" w:beforeAutospacing="1" w:after="192" w:afterAutospacing="1" w:line="384"/>
        <w:ind w:left="0" w:right="0"/>
        <w:outlineLvl w:val="1"/>
        <w:rPr>
          <w:color w:val="000000"/>
          <w:sz w:val="32"/>
          <w:szCs w:val="32"/>
        </w:rPr>
      </w:pPr>
      <w:bookmarkStart w:id="8" w:name="s-8"/>
      <w:r>
        <w:rPr>
          <w:rFonts w:hint="eastAsia" w:ascii="黑体" w:hAnsi="黑体" w:eastAsia="黑体" w:cs="黑体"/>
          <w:b w:val="1"/>
          <w:color w:val="000000"/>
          <w:sz w:val="36"/>
        </w:rPr>
        <w:t>结语</w:t>
      </w:r>
      <w:bookmarkEnd w:id="8"/>
    </w:p>
    <w:p w14:paraId="00000072">
      <w:pPr>
        <w:spacing w:before="0" w:after="192" w:line="384"/>
        <w:ind w:left="0" w:right="0"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高校科研实验室管理市场正处于政策驱动、技术成熟、供给断层三重叠加的窗口期。以「轻量化 + 场景化 + 数智化」切入大仪共享与科研数据归档两大核心闭环，辅以安全合规刚需与数据看板增值，有望在这一细分赛道建立可持续的竞争优势。</w:t>
      </w:r>
    </w:p>
    <w:p w14:paraId="00000073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7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losing" w:semiHidden="1" w:unhideWhenUsed="1"/>
    <w:lsdException w:name="page number" w:semiHidden="1" w:unhideWhenUsed="1"/>
    <w:lsdException w:name="Normal" w:uiPriority="0" w:qFormat="1"/>
    <w:lsdException w:name="Body Text 2" w:semiHidden="1" w:unhideWhenUsed="1"/>
    <w:lsdException w:name="toc 2" w:uiPriority="39" w:semiHidden="1" w:unhideWhenUsed="1"/>
    <w:lsdException w:name="List Continue 4" w:semiHidden="1" w:unhideWhenUsed="1"/>
    <w:lsdException w:name="index 6" w:semiHidden="1" w:unhideWhenUsed="1"/>
    <w:lsdException w:name="toc 6" w:uiPriority="39" w:semiHidden="1" w:unhideWhenUsed="1"/>
    <w:lsdException w:name="toa heading" w:semiHidden="1" w:unhideWhenUsed="1"/>
    <w:lsdException w:name="List Number 3" w:semiHidden="1" w:unhideWhenUsed="1"/>
    <w:lsdException w:name="Body Text Indent 2" w:semiHidden="1" w:unhideWhenUsed="1"/>
    <w:lsdException w:name="toc 5" w:uiPriority="39" w:semiHidden="1" w:unhideWhenUsed="1"/>
    <w:lsdException w:name="toc 9" w:uiPriority="39" w:semiHidden="1" w:unhideWhenUsed="1"/>
    <w:lsdException w:name="Title" w:uiPriority="10" w:qFormat="1"/>
    <w:lsdException w:name="index 5" w:semiHidden="1" w:unhideWhenUsed="1"/>
    <w:lsdException w:name="index 1" w:semiHidden="1" w:unhideWhenUsed="1"/>
    <w:lsdException w:name="List 3" w:semiHidden="1" w:unhideWhenUsed="1"/>
    <w:lsdException w:name="Date" w:semiHidden="1" w:unhideWhenUsed="1"/>
    <w:lsdException w:name="toc 1" w:uiPriority="39" w:semiHidden="1" w:unhideWhenUsed="1"/>
    <w:lsdException w:name="index 3" w:semiHidden="1" w:unhideWhenUsed="1"/>
    <w:lsdException w:name="heading 6" w:uiPriority="9" w:semiHidden="1" w:unhideWhenUsed="1" w:qFormat="1"/>
    <w:lsdException w:name="toc 8" w:uiPriority="39" w:semiHidden="1" w:unhideWhenUsed="1"/>
    <w:lsdException w:name="footnote text" w:semiHidden="1" w:unhideWhenUsed="1"/>
    <w:lsdException w:name="List 4" w:semiHidden="1" w:unhideWhenUsed="1"/>
    <w:lsdException w:name="List Number" w:semiHidden="1" w:unhideWhenUsed="1"/>
    <w:lsdException w:name="List Continue 2" w:semiHidden="1" w:unhideWhenUsed="1"/>
    <w:lsdException w:name="macro" w:semiHidden="1" w:unhideWhenUsed="1"/>
    <w:lsdException w:name="Block Text" w:semiHidden="1" w:unhideWhenUsed="1"/>
    <w:lsdException w:name="toc 3" w:uiPriority="39" w:semiHidden="1" w:unhideWhenUsed="1"/>
    <w:lsdException w:name="heading 1" w:uiPriority="9" w:qFormat="1"/>
    <w:lsdException w:name="List Bullet 2" w:semiHidden="1" w:unhideWhenUsed="1"/>
    <w:lsdException w:name="List Bullet 4" w:semiHidden="1" w:unhideWhenUsed="1"/>
    <w:lsdException w:name="table of authorities" w:semiHidden="1" w:unhideWhenUsed="1"/>
    <w:lsdException w:name="envelope return" w:semiHidden="1" w:unhideWhenUsed="1"/>
    <w:lsdException w:name="Salutation" w:semiHidden="1" w:unhideWhenUsed="1"/>
    <w:lsdException w:name="Body Text Indent 3" w:semiHidden="1" w:unhideWhenUsed="1"/>
    <w:lsdException w:name="heading 4" w:uiPriority="9" w:semiHidden="1" w:unhideWhenUsed="1" w:qFormat="1"/>
    <w:lsdException w:name="List Bullet 3" w:semiHidden="1" w:unhideWhenUsed="1"/>
    <w:lsdException w:name="List Number 4" w:semiHidden="1" w:unhideWhenUsed="1"/>
    <w:lsdException w:name="List 2" w:semiHidden="1" w:unhideWhenUsed="1"/>
    <w:lsdException w:name="index 8" w:semiHidden="1" w:unhideWhenUsed="1"/>
    <w:lsdException w:name="annotation reference" w:semiHidden="1" w:unhideWhenUsed="1"/>
    <w:lsdException w:name="Message Header" w:semiHidden="1" w:unhideWhenUsed="1"/>
    <w:lsdException w:name="heading 2" w:uiPriority="9" w:semiHidden="1" w:unhideWhenUsed="1" w:qFormat="1"/>
    <w:lsdException w:name="annotation text" w:semiHidden="1" w:unhideWhenUsed="1"/>
    <w:lsdException w:name="Subtitle" w:uiPriority="11" w:qFormat="1"/>
    <w:lsdException w:name="heading 5" w:uiPriority="9" w:semiHidden="1" w:unhideWhenUsed="1" w:qFormat="1"/>
    <w:lsdException w:name="Normal Indent" w:semiHidden="1" w:unhideWhenUsed="1"/>
    <w:lsdException w:name="List 5" w:semiHidden="1" w:unhideWhenUsed="1"/>
    <w:lsdException w:name="heading 9" w:uiPriority="9" w:semiHidden="1" w:unhideWhenUsed="1" w:qFormat="1"/>
    <w:lsdException w:name="List Continue 3" w:semiHidden="1" w:unhideWhenUsed="1"/>
    <w:lsdException w:name="FollowedHyperlink" w:semiHidden="1" w:unhideWhenUsed="1"/>
    <w:lsdException w:name="Note Heading" w:semiHidden="1" w:unhideWhenUsed="1"/>
    <w:lsdException w:name="List Number 5" w:semiHidden="1" w:unhideWhenUsed="1"/>
    <w:lsdException w:name="toc 7" w:uiPriority="39" w:semiHidden="1" w:unhideWhenUsed="1"/>
    <w:lsdException w:name="Body Text First Indent 2" w:semiHidden="1" w:unhideWhenUsed="1"/>
    <w:lsdException w:name="Hyperlink" w:semiHidden="1" w:unhideWhenUsed="1"/>
    <w:lsdException w:name="index heading" w:semiHidden="1" w:unhideWhenUsed="1"/>
    <w:lsdException w:name="List Continue" w:semiHidden="1" w:unhideWhenUsed="1"/>
    <w:lsdException w:name="footer" w:semiHidden="1" w:unhideWhenUsed="1"/>
    <w:lsdException w:name="List Bullet" w:semiHidden="1" w:unhideWhenUsed="1"/>
    <w:lsdException w:name="envelope address" w:semiHidden="1" w:unhideWhenUsed="1"/>
    <w:lsdException w:name="List Number 2" w:semiHidden="1" w:unhideWhenUsed="1"/>
    <w:lsdException w:name="Default Paragraph Font" w:uiPriority="1" w:semiHidden="1" w:unhideWhenUsed="1"/>
    <w:lsdException w:name="index 2" w:semiHidden="1" w:unhideWhenUsed="1"/>
    <w:lsdException w:name="Body Text Indent" w:semiHidden="1" w:unhideWhenUsed="1"/>
    <w:lsdException w:name="heading 8" w:uiPriority="9" w:semiHidden="1" w:unhideWhenUsed="1" w:qFormat="1"/>
    <w:lsdException w:name="List Bullet 5" w:semiHidden="1" w:unhideWhenUsed="1"/>
    <w:lsdException w:name="index 4" w:semiHidden="1" w:unhideWhenUsed="1"/>
    <w:lsdException w:name="List" w:semiHidden="1" w:unhideWhenUsed="1"/>
    <w:lsdException w:name="Signature" w:semiHidden="1" w:unhideWhenUsed="1"/>
    <w:lsdException w:name="footnote reference" w:semiHidden="1" w:unhideWhenUsed="1"/>
    <w:lsdException w:name="index 9" w:semiHidden="1" w:unhideWhenUsed="1"/>
    <w:lsdException w:name="Strong" w:uiPriority="22" w:qFormat="1"/>
    <w:lsdException w:name="Body Text" w:semiHidden="1" w:unhideWhenUsed="1"/>
    <w:lsdException w:name="heading 3" w:uiPriority="9" w:semiHidden="1" w:unhideWhenUsed="1" w:qFormat="1"/>
    <w:lsdException w:name="heading 7" w:uiPriority="9" w:semiHidden="1" w:unhideWhenUsed="1" w:qFormat="1"/>
    <w:lsdException w:name="Body Text 3" w:semiHidden="1" w:unhideWhenUsed="1"/>
    <w:lsdException w:name="List Continue 5" w:semiHidden="1" w:unhideWhenUsed="1"/>
    <w:lsdException w:name="line number" w:semiHidden="1" w:unhideWhenUsed="1"/>
    <w:lsdException w:name="header" w:semiHidden="1" w:unhideWhenUsed="1"/>
    <w:lsdException w:name="endnote text" w:semiHidden="1" w:unhideWhenUsed="1"/>
    <w:lsdException w:name="Body Text First Indent" w:semiHidden="1" w:unhideWhenUsed="1"/>
    <w:lsdException w:name="index 7" w:semiHidden="1" w:unhideWhenUsed="1"/>
    <w:lsdException w:name="endnote reference" w:semiHidden="1" w:unhideWhenUsed="1"/>
    <w:lsdException w:name="toc 4" w:uiPriority="39" w:semiHidden="1" w:unhideWhenUsed="1"/>
    <w:lsdException w:name="caption" w:uiPriority="35" w:semiHidden="1" w:unhideWhenUsed="1" w:qFormat="1"/>
    <w:lsdException w:name="table of figures" w:semiHidden="1" w:unhideWhenUsed="1"/>
  </w:latentStyles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do2k39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2026-10-29T18:13:11Z</dcterms:created>
  <dcterms:modified xsi:type="dcterms:W3CDTF">2026-10-29T18:13:11Z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"01a1871f50867a348380d75a293bde10", "ReservedCode1": "", "ContentPropagator": "00119111010856365494821B355", "PropagateID": "01a1871f50867a348380d75a293bde10", "ReservedCode2": ""}}</vt:lpwstr>
  </property>
</Properties>
</file>