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B0FBE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面向人工智能的科研与教学平台 本项目是一款数据科学科研和教学一体化平台，集成数十行业数千数据集、科研案例模板， 帮助科研人员快速使用大数据和人工智能技术开展科学研究，支持全国高校开展大数据通 识课程教学，帮助非专业人员进行数据分析和生成分析报告。本项目具备拖拽式的数据处 理、数据分析、数据建模和可视化工具；自主开发的大数据分析全流程算法组件；系统可 自动生成智能科研报告。</w:t>
      </w:r>
    </w:p>
    <w:p w14:paraId="4E3E09A7">
      <w:pPr>
        <w:rPr>
          <w:rFonts w:hint="eastAsia"/>
          <w:b/>
          <w:bCs/>
          <w:sz w:val="24"/>
          <w:szCs w:val="24"/>
        </w:rPr>
      </w:pPr>
    </w:p>
    <w:p w14:paraId="29CDF69D">
      <w:pPr>
        <w:rPr>
          <w:rFonts w:hint="eastAsia"/>
          <w:b/>
          <w:bCs/>
          <w:sz w:val="24"/>
          <w:szCs w:val="24"/>
        </w:rPr>
      </w:pPr>
    </w:p>
    <w:p w14:paraId="53B54892">
      <w:pPr>
        <w:rPr>
          <w:rFonts w:hint="eastAsia"/>
          <w:b/>
          <w:bCs/>
          <w:sz w:val="24"/>
          <w:szCs w:val="24"/>
        </w:rPr>
      </w:pPr>
    </w:p>
    <w:p w14:paraId="3D625A4A">
      <w:pPr>
        <w:rPr>
          <w:rFonts w:hint="eastAsia"/>
          <w:b/>
          <w:bCs/>
          <w:sz w:val="24"/>
          <w:szCs w:val="24"/>
        </w:rPr>
      </w:pPr>
    </w:p>
    <w:p w14:paraId="712CBE4D">
      <w:pPr>
        <w:rPr>
          <w:rFonts w:hint="eastAsia"/>
          <w:b/>
          <w:bCs/>
          <w:sz w:val="24"/>
          <w:szCs w:val="24"/>
        </w:rPr>
      </w:pPr>
    </w:p>
    <w:p w14:paraId="22C582D3">
      <w:pPr>
        <w:rPr>
          <w:rFonts w:hint="eastAsia"/>
          <w:b/>
          <w:bCs/>
          <w:sz w:val="24"/>
          <w:szCs w:val="24"/>
        </w:rPr>
      </w:pPr>
    </w:p>
    <w:p w14:paraId="1C13D556">
      <w:pPr>
        <w:rPr>
          <w:rFonts w:hint="eastAsia"/>
          <w:b/>
          <w:bCs/>
          <w:sz w:val="24"/>
          <w:szCs w:val="24"/>
        </w:rPr>
      </w:pPr>
    </w:p>
    <w:p w14:paraId="7B51C2E2">
      <w:pPr>
        <w:rPr>
          <w:rFonts w:hint="eastAsia"/>
          <w:b/>
          <w:bCs/>
          <w:sz w:val="24"/>
          <w:szCs w:val="24"/>
        </w:rPr>
      </w:pPr>
    </w:p>
    <w:p w14:paraId="4BF821D5">
      <w:pPr>
        <w:rPr>
          <w:rFonts w:hint="eastAsia"/>
          <w:b/>
          <w:bCs/>
          <w:sz w:val="24"/>
          <w:szCs w:val="24"/>
        </w:rPr>
      </w:pPr>
    </w:p>
    <w:p w14:paraId="70588BAD">
      <w:pPr>
        <w:rPr>
          <w:rFonts w:hint="eastAsia"/>
          <w:b/>
          <w:bCs/>
          <w:sz w:val="24"/>
          <w:szCs w:val="24"/>
        </w:rPr>
      </w:pPr>
    </w:p>
    <w:p w14:paraId="4E520F95">
      <w:pPr>
        <w:rPr>
          <w:rFonts w:hint="eastAsia"/>
          <w:b/>
          <w:bCs/>
          <w:sz w:val="24"/>
          <w:szCs w:val="24"/>
        </w:rPr>
      </w:pPr>
    </w:p>
    <w:p w14:paraId="53989FF7">
      <w:pPr>
        <w:rPr>
          <w:rFonts w:hint="eastAsia"/>
          <w:b/>
          <w:bCs/>
          <w:sz w:val="24"/>
          <w:szCs w:val="24"/>
        </w:rPr>
      </w:pPr>
    </w:p>
    <w:p w14:paraId="412949F0">
      <w:pPr>
        <w:rPr>
          <w:rFonts w:hint="eastAsia"/>
          <w:b/>
          <w:bCs/>
          <w:sz w:val="24"/>
          <w:szCs w:val="24"/>
        </w:rPr>
      </w:pPr>
    </w:p>
    <w:p w14:paraId="2F67EEDB">
      <w:pPr>
        <w:rPr>
          <w:rFonts w:hint="eastAsia"/>
          <w:b/>
          <w:bCs/>
          <w:sz w:val="24"/>
          <w:szCs w:val="24"/>
        </w:rPr>
      </w:pPr>
    </w:p>
    <w:p w14:paraId="32E3AF32">
      <w:pPr>
        <w:rPr>
          <w:rFonts w:hint="eastAsia"/>
          <w:b/>
          <w:bCs/>
          <w:sz w:val="24"/>
          <w:szCs w:val="24"/>
        </w:rPr>
      </w:pPr>
    </w:p>
    <w:p w14:paraId="0295BB03">
      <w:pPr>
        <w:rPr>
          <w:rFonts w:hint="eastAsia"/>
          <w:b/>
          <w:bCs/>
          <w:sz w:val="24"/>
          <w:szCs w:val="24"/>
        </w:rPr>
      </w:pPr>
    </w:p>
    <w:p w14:paraId="24BAEC98">
      <w:p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asciiTheme="minorEastAsia" w:hAnsiTheme="minorEastAsia"/>
          <w:sz w:val="28"/>
          <w:szCs w:val="28"/>
        </w:rPr>
        <w:t>面向人工智能的科研与教学平台项目前景与范围文档</w:t>
      </w:r>
      <w:r>
        <w:rPr>
          <w:rFonts w:hint="eastAsia" w:asciiTheme="minorEastAsia" w:hAnsiTheme="minorEastAsia"/>
          <w:sz w:val="28"/>
          <w:szCs w:val="28"/>
        </w:rPr>
        <w:t>目录</w:t>
      </w:r>
      <w:r>
        <w:rPr>
          <w:rFonts w:hint="eastAsia" w:asciiTheme="minorEastAsia" w:hAnsiTheme="minorEastAsia"/>
          <w:sz w:val="28"/>
          <w:szCs w:val="28"/>
          <w:lang w:eastAsia="zh-CN"/>
        </w:rPr>
        <w:t>：</w:t>
      </w:r>
      <w:bookmarkStart w:id="0" w:name="_GoBack"/>
      <w:bookmarkEnd w:id="0"/>
    </w:p>
    <w:p w14:paraId="2D4A37AE"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1 业务需求：</w:t>
      </w:r>
    </w:p>
    <w:p w14:paraId="77E1B247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应用背景</w:t>
      </w:r>
    </w:p>
    <w:p w14:paraId="3921769B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业务机遇</w:t>
      </w:r>
    </w:p>
    <w:p w14:paraId="66B3018A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业务目标</w:t>
      </w:r>
    </w:p>
    <w:p w14:paraId="125C920C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业务风险</w:t>
      </w:r>
    </w:p>
    <w:p w14:paraId="5EEE8C06">
      <w:pPr>
        <w:pStyle w:val="30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项目前景</w:t>
      </w:r>
    </w:p>
    <w:p w14:paraId="0E8706AB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前景概述</w:t>
      </w:r>
    </w:p>
    <w:p w14:paraId="65E676CF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主要特性</w:t>
      </w:r>
    </w:p>
    <w:p w14:paraId="7F64FED2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假设与依赖</w:t>
      </w:r>
    </w:p>
    <w:p w14:paraId="3C851695">
      <w:pPr>
        <w:pStyle w:val="30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项目范围</w:t>
      </w:r>
    </w:p>
    <w:p w14:paraId="5D0A3E13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第一版范围</w:t>
      </w:r>
    </w:p>
    <w:p w14:paraId="12317459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后续版本范围</w:t>
      </w:r>
    </w:p>
    <w:p w14:paraId="324666A4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限制与排除</w:t>
      </w:r>
    </w:p>
    <w:p w14:paraId="533859A4">
      <w:pPr>
        <w:pStyle w:val="30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项目环境</w:t>
      </w:r>
    </w:p>
    <w:p w14:paraId="5CC21C3D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操作环境</w:t>
      </w:r>
    </w:p>
    <w:p w14:paraId="55D68AE1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涉众</w:t>
      </w:r>
    </w:p>
    <w:p w14:paraId="6D7D1705">
      <w:pPr>
        <w:pStyle w:val="30"/>
        <w:numPr>
          <w:ilvl w:val="1"/>
          <w:numId w:val="1"/>
        </w:num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项目属性</w:t>
      </w:r>
    </w:p>
    <w:p w14:paraId="6CE16621">
      <w:pPr>
        <w:ind w:left="320"/>
        <w:rPr>
          <w:rFonts w:asciiTheme="minorEastAsia" w:hAnsiTheme="minorEastAsia"/>
          <w:sz w:val="28"/>
          <w:szCs w:val="28"/>
        </w:rPr>
      </w:pPr>
    </w:p>
    <w:p w14:paraId="7D06E4D5">
      <w:pPr>
        <w:ind w:left="320"/>
        <w:rPr>
          <w:rFonts w:asciiTheme="minorEastAsia" w:hAnsiTheme="minorEastAsia"/>
          <w:sz w:val="28"/>
          <w:szCs w:val="28"/>
        </w:rPr>
      </w:pPr>
    </w:p>
    <w:p w14:paraId="17E44B8E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textWrapping"/>
      </w:r>
    </w:p>
    <w:p w14:paraId="2C334A5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面向人工智能的科研与教学平台项目前景与范围文档  </w:t>
      </w:r>
    </w:p>
    <w:p w14:paraId="778AB5B5">
      <w:pPr>
        <w:rPr>
          <w:rFonts w:hint="eastAsia" w:asciiTheme="minorEastAsia" w:hAnsiTheme="minorEastAsia"/>
          <w:sz w:val="28"/>
          <w:szCs w:val="28"/>
        </w:rPr>
      </w:pPr>
    </w:p>
    <w:p w14:paraId="1F69D9EA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 业务需求  </w:t>
      </w:r>
    </w:p>
    <w:p w14:paraId="3AD9B4E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1.1 应用背景  </w:t>
      </w:r>
    </w:p>
    <w:p w14:paraId="4CFE0C6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随着人工智能技术成为国家战略重点，教育领域亟需整合科研与教学资源，解决当前人工智能教育平台存在的资源分散、互动性不足等问题。高校和科研机构面临算力不足、数据管理复杂等挑战，而非专业人员（如企业分析师）对低成本数据分析工具的需求持续增长。  </w:t>
      </w:r>
    </w:p>
    <w:p w14:paraId="492DFF37">
      <w:pPr>
        <w:ind w:left="320"/>
        <w:rPr>
          <w:rFonts w:asciiTheme="minorEastAsia" w:hAnsiTheme="minorEastAsia"/>
          <w:sz w:val="28"/>
          <w:szCs w:val="28"/>
        </w:rPr>
      </w:pPr>
    </w:p>
    <w:p w14:paraId="04A4C53D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1.2 业务机遇  </w:t>
      </w:r>
    </w:p>
    <w:p w14:paraId="402F69FC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政策驱动：教育部推动人工智能教育基地建设，鼓励产学研结合；  </w:t>
      </w:r>
    </w:p>
    <w:p w14:paraId="7601C48E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市场需求：全国高校需标准化AI通识课程，企业需快速生成数据分析报告；  </w:t>
      </w:r>
    </w:p>
    <w:p w14:paraId="3CDE7DE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技术趋势：联邦学习、大模型等前沿技术可提升科研效率30%以上。  </w:t>
      </w:r>
    </w:p>
    <w:p w14:paraId="3E904282">
      <w:pPr>
        <w:ind w:left="320"/>
        <w:rPr>
          <w:rFonts w:asciiTheme="minorEastAsia" w:hAnsiTheme="minorEastAsia"/>
          <w:sz w:val="28"/>
          <w:szCs w:val="28"/>
        </w:rPr>
      </w:pPr>
    </w:p>
    <w:p w14:paraId="3F545549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1.3 业务目标 </w:t>
      </w:r>
    </w:p>
    <w:p w14:paraId="2158A61E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 科研赋能：为科研人员提供PB级数据处理能力，支持分布式计算与GPU集群管理；  </w:t>
      </w:r>
    </w:p>
    <w:p w14:paraId="60E98325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 教学创新：覆盖100+高校课程，实现实验自动批改与学情预警；  </w:t>
      </w:r>
    </w:p>
    <w:p w14:paraId="79590FC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 普惠普及：非专业人员10分钟内完成基础数据分析，报告生成成本降低30%；  </w:t>
      </w:r>
    </w:p>
    <w:p w14:paraId="68BE8634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4.生态构建：整合数十行业数据集，吸引50+企业共建案例库。  </w:t>
      </w:r>
    </w:p>
    <w:p w14:paraId="702F5520">
      <w:pPr>
        <w:ind w:left="320"/>
        <w:rPr>
          <w:rFonts w:asciiTheme="minorEastAsia" w:hAnsiTheme="minorEastAsia"/>
          <w:sz w:val="28"/>
          <w:szCs w:val="28"/>
        </w:rPr>
      </w:pPr>
    </w:p>
    <w:p w14:paraId="62E19D77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1.4 业务风险  </w:t>
      </w:r>
    </w:p>
    <w:p w14:paraId="0462CD5A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技术风险：算法可解释性不足可能影响科研可信度；  </w:t>
      </w:r>
    </w:p>
    <w:p w14:paraId="5D6CB77B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合规风险：数据共享需符合《生成式AI服务管理暂行办法》；  </w:t>
      </w:r>
    </w:p>
    <w:p w14:paraId="2EC7D5F5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运营风险：高校教师接受度低可能导致平台渗透率不足。  </w:t>
      </w:r>
    </w:p>
    <w:p w14:paraId="4367DD8A">
      <w:pPr>
        <w:ind w:left="320"/>
        <w:rPr>
          <w:rFonts w:asciiTheme="minorEastAsia" w:hAnsiTheme="minorEastAsia"/>
          <w:sz w:val="28"/>
          <w:szCs w:val="28"/>
        </w:rPr>
      </w:pPr>
    </w:p>
    <w:p w14:paraId="02AAC031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 项目前景  </w:t>
      </w:r>
    </w:p>
    <w:p w14:paraId="6B9BCF1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2.1 前景概述  </w:t>
      </w:r>
    </w:p>
    <w:p w14:paraId="655AA16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本平台通过整合“算力+数据+教学”三位一体模式，致力于成为高校实验室、企业培训的核心基础设施。其发展前景主要基于以下核心驱动力：</w:t>
      </w:r>
    </w:p>
    <w:p w14:paraId="4875066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1.</w:t>
      </w:r>
      <w:r>
        <w:rPr>
          <w:rStyle w:val="1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政策与教育需求双轮驱动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：教育部明确提出推动人工智能教育基地建设，鼓励产学研结合，同时全国高校亟需标准化AI通识课程体系，企业对低成本数据分析工具的需求持续增长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平台通过覆盖100+高校课程、实现实验自动批改与学情预警，直接响应政策要求与教育痛点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00CC463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/>
        <w:jc w:val="left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Style w:val="1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2.</w:t>
      </w:r>
      <w:r>
        <w:rPr>
          <w:rStyle w:val="1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技术趋势的深度适配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：联邦学习、大模型等前沿技术可提升科研效率30%以上，而平台内置的智能科研助手（如自动化论文写作、实验报告生成）和分布式计算架构，已验证了技术落地的可行性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例如，复旦大学通过大模型实现跨学科协作，验证了AI在科研中的核心价值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0F93E3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0" w:beforeAutospacing="0" w:after="0" w:afterAutospacing="0"/>
        <w:ind w:right="20"/>
        <w:jc w:val="left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3.</w:t>
      </w:r>
      <w:r>
        <w:rPr>
          <w:rStyle w:val="1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生态构建的差异化优势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：平台整合数十行业脱敏数据集，吸引50+企业共建案例库，形成“教学-科研-产业”数据闭环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这种生态模式与OpenAI通过NextGenAI项目推动产学研协同的路径高度契合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预计3年内覆盖全国80%双高院校，服务10万+科研用户，成为AI教育领域的基础设施级产品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4B820F37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。</w:t>
      </w:r>
    </w:p>
    <w:p w14:paraId="5D3AC20C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32331EA0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2.2 主要特性  </w:t>
      </w:r>
    </w:p>
    <w:p w14:paraId="6B1B2056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多模态数据处理： 支持图片、语音、文本等10万+数据集的拖拽式分析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分布式存储（EDS）与GPU集群 </w:t>
      </w:r>
    </w:p>
    <w:p w14:paraId="0AB472AA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智能科研助手   ：自动化论文写作、实验报告生成，集成1000+科研案例模板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大模型微调与知识图谱 </w:t>
      </w:r>
    </w:p>
    <w:p w14:paraId="479F9B21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教学全流程支持  ： 从课程设计到虚拟仿真实验，兼容现有教务系统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超融合架构（HCI）与微服务 </w:t>
      </w:r>
    </w:p>
    <w:p w14:paraId="510F23BE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4CDB194C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2.3 假设与依赖  </w:t>
      </w:r>
    </w:p>
    <w:p w14:paraId="0C665A52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假设：高校愿意开放部分数据用于教学案例库建设；  </w:t>
      </w:r>
    </w:p>
    <w:p w14:paraId="74749240">
      <w:pPr>
        <w:ind w:left="320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依赖：需与深信服等厂商合作实现硬件快速部署。</w:t>
      </w:r>
    </w:p>
    <w:p w14:paraId="0867ECA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2.4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前景确定依据</w:t>
      </w:r>
    </w:p>
    <w:p w14:paraId="198BF86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0"/>
        <w:textAlignment w:val="baseline"/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项目前景的制定基于以下多维度分析：</w:t>
      </w:r>
    </w:p>
    <w:p w14:paraId="1431AEC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632" w:right="0" w:hanging="36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政策导向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：教育部“人工智能+高等教育”应用场景典型案例的发布，明确将智能教学平台、虚拟仿真实验室等列为重点方向，为本项目在高校的渗透提供政策保障。</w:t>
      </w:r>
    </w:p>
    <w:p w14:paraId="38F36C9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632" w:leftChars="0" w:right="0" w:rightChars="0" w:hanging="360" w:firstLine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市场需求验证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：</w:t>
      </w:r>
    </w:p>
    <w:p w14:paraId="23C57CB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694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高校需求：东南大学等高校通过部署DeepSeek大模型提升教学科研效率，验证了算力与AI工具的刚需；</w:t>
      </w:r>
    </w:p>
    <w:p w14:paraId="47465BE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559" w:leftChars="266"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企业需求：企业分析师对低成本数据分析工具的需求持续增长，平台普惠化目标（报告生成成本降低30%）具备市场空间。</w:t>
      </w:r>
    </w:p>
    <w:p w14:paraId="504312B4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632" w:leftChars="0" w:right="0" w:rightChars="0" w:hanging="360" w:firstLine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技术可行性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：</w:t>
      </w:r>
    </w:p>
    <w:p w14:paraId="46F33B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694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算力支持：通过深信服超融合架构实现GPU集群弹性扩展，解决高校算力不足问题；</w:t>
      </w:r>
    </w:p>
    <w:p w14:paraId="06871A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559" w:leftChars="266" w:right="0" w:rightChars="0" w:firstLine="0" w:firstLine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工具链成熟：拖拽式分析工具与自主开发的算法组件（数据清洗、特征工程）已覆盖科研全流程。</w:t>
      </w:r>
    </w:p>
    <w:p w14:paraId="4613BC5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632" w:leftChars="0" w:right="0" w:rightChars="0" w:hanging="360" w:firstLine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16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风险对冲机制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：</w:t>
      </w:r>
    </w:p>
    <w:p w14:paraId="203C69A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694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合规性：平台采用数据脱敏与权限分级管理，符合《生成式AI服务管理暂行办法》要求；</w:t>
      </w:r>
    </w:p>
    <w:p w14:paraId="34FF82D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694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技术可信度：通过算法可解释性增强模块（如知识图谱）提升科研结果可信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度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。</w:t>
      </w:r>
    </w:p>
    <w:p w14:paraId="4DA3A9DF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 </w:t>
      </w:r>
    </w:p>
    <w:p w14:paraId="1AB89EB0">
      <w:pPr>
        <w:ind w:left="320"/>
        <w:rPr>
          <w:rFonts w:asciiTheme="minorEastAsia" w:hAnsiTheme="minorEastAsia"/>
          <w:sz w:val="28"/>
          <w:szCs w:val="28"/>
        </w:rPr>
      </w:pPr>
    </w:p>
    <w:p w14:paraId="37AC9523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 项目范围  </w:t>
      </w:r>
    </w:p>
    <w:p w14:paraId="72E23954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3.1 第一版范围  </w:t>
      </w:r>
    </w:p>
    <w:p w14:paraId="29C446AA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56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</w:rPr>
      </w:pPr>
      <w:r>
        <w:rPr>
          <w:rStyle w:val="1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a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. 数据资源与工具集成</w:t>
      </w:r>
    </w:p>
    <w:p w14:paraId="2FB89D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588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集成数十个行业数千个脱敏数据集（含图片、语音、交通、金融等多领域数据），支持科研数据调用与分析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3F22491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948" w:right="0" w:hanging="36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14A4A2F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588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提供拖拽式数据处理、分析、建模及可视化工具链，降低技术使用门槛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2E49194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948" w:right="0" w:hanging="36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 w14:paraId="5D14523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588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自主开发大数据分析全流程算法组件，覆盖数据清洗、特征工程、模型训练等环节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241F73B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56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</w:rPr>
      </w:pPr>
      <w:r>
        <w:rPr>
          <w:rStyle w:val="1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b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. 科研支持功能</w:t>
      </w:r>
    </w:p>
    <w:p w14:paraId="01CD6C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 w:firstLine="280" w:firstLineChars="100"/>
        <w:jc w:val="left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支持TensorFlow/PyTorch等主流AI框架，提供集群资源管理、作业调度等科研基础设施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6B3820C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 w:firstLine="280" w:firstLineChars="100"/>
        <w:jc w:val="left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内置科研案例模板库，覆盖模式识别、计算机视觉、自然语言处理等方向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4747B6F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right="0" w:rightChars="0" w:firstLine="280" w:firstLineChars="100"/>
        <w:jc w:val="left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实现实验任务自动快照、资源消耗实时监控及日志分析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621731E7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56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</w:rPr>
      </w:pPr>
      <w:r>
        <w:rPr>
          <w:rStyle w:val="1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c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. 教学支持体系</w:t>
      </w:r>
    </w:p>
    <w:p w14:paraId="2EE8487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构建分层分类教学模块，支持高校通识课程教学与非专业人员技能培训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20E37B2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提供虚拟仿真实验室、Python/图形化编程工具等实训环境，满足100人同时在线教学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2556FC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272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整合5000+教学视频、教材及案例资源，支持课前预习、课中互动与课后拓展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65835372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56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</w:rPr>
      </w:pPr>
      <w:r>
        <w:rPr>
          <w:rStyle w:val="1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d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. 科研创新生态</w:t>
      </w:r>
    </w:p>
    <w:p w14:paraId="66928F8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建立科研项目管理模块，支持论文发表、数据共享及学术成果转化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78E500E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left="272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配备AI芯片/新型计算架构等前沿技术研究中心资源，推动产学研协同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56EEC71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272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定期举办线上学术研讨会，促进跨机构科研合作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1C9D630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56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</w:rPr>
      </w:pPr>
      <w:r>
        <w:rPr>
          <w:rStyle w:val="1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e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. 基础设施架构</w:t>
      </w:r>
    </w:p>
    <w:p w14:paraId="534053A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采用超融合架构+分布式存储方案，支持GPU集群弹性扩展与算力动态分配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09DB89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通过容器云平台实现多租户安全隔离，保障教学/科研任务独立运行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7F74C73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left="272" w:leftChars="0" w:right="0" w:rightChars="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部署J2EE技术栈的B/S架构系统，支持WEB开发环境与任务全流程管理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73DC8CFE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ind w:left="0" w:firstLine="560" w:firstLineChars="200"/>
        <w:textAlignment w:val="baseline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</w:rPr>
      </w:pPr>
      <w:r>
        <w:rPr>
          <w:rStyle w:val="16"/>
          <w:rFonts w:hint="eastAsia" w:asciiTheme="minorEastAsia" w:hAnsi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val="en-US" w:eastAsia="zh-CN"/>
        </w:rPr>
        <w:t>f</w:t>
      </w:r>
      <w:r>
        <w:rPr>
          <w:rStyle w:val="16"/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. 运营管理体系</w:t>
      </w:r>
    </w:p>
    <w:p w14:paraId="532A6A4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实现用户角色分级管理（学生/教师/管理员），支持1000+并发访问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003C84E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构建教学行为分析系统，实时监控平台使用率、资源负载等核心指标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57BDBA5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0" w:afterAutospacing="0"/>
        <w:ind w:right="0" w:rightChars="0" w:firstLine="280" w:firstLineChars="100"/>
        <w:textAlignment w:val="baseline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提供三年授权期的持续服务保障，包含系统升级与故障应急响应</w:t>
      </w:r>
      <w:r>
        <w:rPr>
          <w:rFonts w:hint="eastAsia" w:asciiTheme="minorEastAsia" w:hAnsi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  <w:lang w:eastAsia="zh-CN"/>
        </w:rPr>
        <w:t>。</w:t>
      </w:r>
    </w:p>
    <w:p w14:paraId="4869581D"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after="0" w:afterAutospacing="0"/>
        <w:ind w:left="0" w:firstLine="280" w:firstLineChars="100"/>
        <w:textAlignment w:val="baseline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spacing w:val="0"/>
          <w:sz w:val="28"/>
          <w:szCs w:val="28"/>
          <w:shd w:val="clear" w:fill="FCFCFC"/>
          <w:vertAlign w:val="baseline"/>
        </w:rPr>
        <w:t>该平台通过软硬协同设计（如深信服超融合+摩尔精英EDA工具</w:t>
      </w:r>
      <w:r>
        <w:rPr>
          <w:rFonts w:hint="eastAsia" w:asciiTheme="minorEastAsia" w:hAnsiTheme="minorEastAsia" w:eastAsiaTheme="minorEastAsia" w:cstheme="minorEastAsia"/>
          <w:kern w:val="0"/>
          <w:sz w:val="28"/>
          <w:szCs w:val="28"/>
          <w:lang w:val="en-US" w:eastAsia="zh-CN" w:bidi="ar"/>
        </w:rPr>
        <w:t>），在降低硬件投入的同时实现科研教学效能倍增，符合教育部关于人工智能赋能本科教育及智慧教育普及的指导方向</w:t>
      </w:r>
      <w:r>
        <w:rPr>
          <w:rFonts w:hint="eastAsia" w:asciiTheme="minorEastAsia" w:hAnsiTheme="minorEastAsia" w:cstheme="minorEastAsia"/>
          <w:kern w:val="0"/>
          <w:sz w:val="28"/>
          <w:szCs w:val="28"/>
          <w:lang w:val="en-US" w:eastAsia="zh-CN" w:bidi="ar"/>
        </w:rPr>
        <w:t>。</w:t>
      </w:r>
    </w:p>
    <w:p w14:paraId="414A379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14:paraId="574387C0">
      <w:pPr>
        <w:ind w:left="320"/>
        <w:rPr>
          <w:rFonts w:asciiTheme="minorEastAsia" w:hAnsiTheme="minorEastAsia"/>
          <w:sz w:val="28"/>
          <w:szCs w:val="28"/>
        </w:rPr>
      </w:pPr>
    </w:p>
    <w:p w14:paraId="54BBC02B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4. 项目环境</w:t>
      </w:r>
    </w:p>
    <w:p w14:paraId="41C80F4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4.1 操作环境  </w:t>
      </w:r>
    </w:p>
    <w:p w14:paraId="32FF18F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硬件：x86/ARM架构服务器，支持GPU/NPU加速；  </w:t>
      </w:r>
    </w:p>
    <w:p w14:paraId="7F6CC2F1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软件：Python生态（TensorFlow/PyTorch）、J2EE开发框架  </w:t>
      </w:r>
    </w:p>
    <w:p w14:paraId="0A7F9F40">
      <w:pPr>
        <w:ind w:left="320"/>
        <w:rPr>
          <w:rFonts w:asciiTheme="minorEastAsia" w:hAnsiTheme="minorEastAsia"/>
          <w:sz w:val="28"/>
          <w:szCs w:val="28"/>
        </w:rPr>
      </w:pPr>
    </w:p>
    <w:p w14:paraId="5D0D0BED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4.2 涉众  </w:t>
      </w:r>
    </w:p>
    <w:p w14:paraId="588F6D58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涉众类别        关联功能                </w:t>
      </w:r>
    </w:p>
    <w:p w14:paraId="134E4B5F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科研人员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 算法开发、数据建模       </w:t>
      </w:r>
    </w:p>
    <w:p w14:paraId="3DAE28B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高校教师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课程设计、学情分析       </w:t>
      </w:r>
    </w:p>
    <w:p w14:paraId="5D5BFC72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学生    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</w:t>
      </w:r>
      <w:r>
        <w:rPr>
          <w:rFonts w:hint="eastAsia" w:asciiTheme="minorEastAsia" w:hAnsiTheme="minorEastAsia"/>
          <w:sz w:val="28"/>
          <w:szCs w:val="28"/>
        </w:rPr>
        <w:t xml:space="preserve"> </w:t>
      </w:r>
      <w:r>
        <w:rPr>
          <w:rFonts w:asciiTheme="minorEastAsia" w:hAnsiTheme="minorEastAsia"/>
          <w:sz w:val="28"/>
          <w:szCs w:val="28"/>
        </w:rPr>
        <w:t xml:space="preserve">实验操作、报告生成       </w:t>
      </w:r>
    </w:p>
    <w:p w14:paraId="2CF07BB4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企业用户 </w:t>
      </w:r>
      <w:r>
        <w:rPr>
          <w:rFonts w:hint="eastAsia" w:asciiTheme="minorEastAsia" w:hAnsiTheme="minor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 xml:space="preserve">       行业数据分析、报告调用   </w:t>
      </w:r>
    </w:p>
    <w:p w14:paraId="20C67D83">
      <w:pPr>
        <w:ind w:left="320"/>
        <w:rPr>
          <w:rFonts w:asciiTheme="minorEastAsia" w:hAnsiTheme="minorEastAsia"/>
          <w:sz w:val="28"/>
          <w:szCs w:val="28"/>
        </w:rPr>
      </w:pPr>
    </w:p>
    <w:p w14:paraId="79C9CB40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4.3 项目属性  </w:t>
      </w:r>
    </w:p>
    <w:p w14:paraId="4D874D16">
      <w:pPr>
        <w:ind w:firstLine="280" w:firstLineChars="10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创新性：首次实现教学-科研-产业数据闭环  </w:t>
      </w:r>
    </w:p>
    <w:p w14:paraId="5AA52220">
      <w:pPr>
        <w:ind w:left="3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可扩展性：支持从单节点到超算集群的弹性扩容 </w:t>
      </w:r>
    </w:p>
    <w:p w14:paraId="138FD8C7">
      <w:pPr>
        <w:rPr>
          <w:rFonts w:hint="eastAsia"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39905D"/>
    <w:multiLevelType w:val="multilevel"/>
    <w:tmpl w:val="30399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2EFA438"/>
    <w:multiLevelType w:val="multilevel"/>
    <w:tmpl w:val="42EFA4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AE11645"/>
    <w:multiLevelType w:val="multilevel"/>
    <w:tmpl w:val="6AE11645"/>
    <w:lvl w:ilvl="0" w:tentative="0">
      <w:start w:val="1"/>
      <w:numFmt w:val="decimal"/>
      <w:lvlText w:val="%1"/>
      <w:lvlJc w:val="left"/>
      <w:pPr>
        <w:ind w:left="370" w:hanging="37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690" w:hanging="37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5F"/>
    <w:rsid w:val="000332B5"/>
    <w:rsid w:val="00370D8D"/>
    <w:rsid w:val="008B735F"/>
    <w:rsid w:val="00936197"/>
    <w:rsid w:val="009A2660"/>
    <w:rsid w:val="00D6380E"/>
    <w:rsid w:val="0A07704F"/>
    <w:rsid w:val="16191177"/>
    <w:rsid w:val="237B69CA"/>
    <w:rsid w:val="3EB36B90"/>
    <w:rsid w:val="53502DAB"/>
    <w:rsid w:val="5926049E"/>
    <w:rsid w:val="6CF8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3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6">
    <w:name w:val="Strong"/>
    <w:basedOn w:val="15"/>
    <w:qFormat/>
    <w:uiPriority w:val="22"/>
    <w:rPr>
      <w:b/>
    </w:rPr>
  </w:style>
  <w:style w:type="character" w:customStyle="1" w:styleId="17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5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5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5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5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5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5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5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5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5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5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2576</Words>
  <Characters>2765</Characters>
  <Lines>11</Lines>
  <Paragraphs>3</Paragraphs>
  <TotalTime>1</TotalTime>
  <ScaleCrop>false</ScaleCrop>
  <LinksUpToDate>false</LinksUpToDate>
  <CharactersWithSpaces>2961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2025-03-16T11:20:00Z</dcterms:created>
  <dc:creator>新哲 田</dc:creator>
  <cp:lastModifiedBy>顶流小猪猪</cp:lastModifiedBy>
  <dcterms:modified xsi:type="dcterms:W3CDTF">2025-03-24T02:42:54Z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eyJoZGlkIjoiYWViNzk3ZWZjZjU4ZTEyZmQzODI3YjYwMWQ4Yzc5NGMiLCJ1c2VySWQiOiI4MTg2MjAzNDAifQ==</vt:lpwstr>
  </property>
  <property fmtid="{D5CDD505-2E9C-101B-9397-08002B2CF9AE}" pid="3" name="KSOProductBuildVer">
    <vt:lpwstr>2052-12.1.0.20305</vt:lpwstr>
  </property>
  <property fmtid="{D5CDD505-2E9C-101B-9397-08002B2CF9AE}" pid="4" name="ICV">
    <vt:lpwstr>2F27C701F8BF4A57BBBB52B5B78C32B2_13</vt:lpwstr>
  </property>
</Properties>
</file>