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b/>
          <w:sz w:val="16"/>
        </w:rPr>
        <w:t>BUSINESS COMMUNICATION</w:t>
      </w:r>
      <w:r>
        <w:rPr>
          <w:sz w:val="16"/>
        </w:rPr>
        <w:t xml:space="preserve"> </w:t>
      </w:r>
      <w:r>
        <w:rPr>
          <w:b/>
          <w:sz w:val="16"/>
        </w:rPr>
        <w:t>Course Syllabus</w:t>
      </w:r>
    </w:p>
    <w:p>
      <w:pPr>
        <w:pStyle w:val="Heading2"/>
        <w:keepNext/>
        <w:spacing w:before="240" w:after="120"/>
      </w:pPr>
      <w:r>
        <w:rPr>
          <w:b/>
          <w:sz w:val="16"/>
        </w:rPr>
        <w:t>Fall 2025 - Andrews University - National Economics University Campus</w:t>
      </w:r>
    </w:p>
    <w:p>
      <w:pPr>
        <w:spacing w:before="0" w:after="120"/>
      </w:pPr>
      <w:r>
        <w:rPr>
          <w:b/>
          <w:sz w:val="16"/>
        </w:rPr>
        <w:t>Qualification:</w:t>
      </w:r>
      <w:r>
        <w:rPr>
          <w:sz w:val="16"/>
        </w:rPr>
        <w:t xml:space="preserve"> Bachelor of Business Administration</w:t>
      </w:r>
    </w:p>
    <w:p>
      <w:pPr>
        <w:pStyle w:val="Heading1"/>
        <w:keepNext/>
        <w:spacing w:before="240" w:after="120"/>
      </w:pPr>
      <w:r>
        <w:rPr>
          <w:b/>
          <w:sz w:val="16"/>
        </w:rPr>
        <w:t>GENERAL INFORMATION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Field</w:t>
            </w:r>
          </w:p>
        </w:tc>
        <w:tc>
          <w:tcPr>
            <w:tcW w:type="auto" w:w="0"/>
            <w:shd w:val="clear" w:color="auto" w:fill="E2E8F0"/>
          </w:tcPr>
          <w:p>
            <w:pPr>
              <w:spacing w:before="0" w:after="0" w:line="276" w:lineRule="auto"/>
            </w:pPr>
            <w:r>
              <w:rPr>
                <w:b/>
                <w:sz w:val="16"/>
              </w:rPr>
              <w:t>Value</w:t>
            </w:r>
          </w:p>
        </w:tc>
      </w:tr>
      <w:tr>
        <w:trPr>
          <w:cantSplit/>
        </w:trPr>
        <w:tc>
          <w:tcPr>
            <w:tcW w:type="auto" w:w="0"/>
          </w:tcPr>
          <w:p>
            <w:pPr>
              <w:spacing w:before="0" w:after="0" w:line="276" w:lineRule="auto"/>
            </w:pPr>
            <w:r>
              <w:rPr>
                <w:b/>
                <w:sz w:val="16"/>
              </w:rPr>
              <w:t>Course Code</w:t>
            </w:r>
          </w:p>
        </w:tc>
        <w:tc>
          <w:tcPr>
            <w:tcW w:type="auto" w:w="0"/>
          </w:tcPr>
          <w:p>
            <w:pPr>
              <w:spacing w:before="0" w:after="0" w:line="276" w:lineRule="auto"/>
            </w:pPr>
            <w:r>
              <w:rPr>
                <w:sz w:val="16"/>
              </w:rPr>
              <w:t>BCI2AU</w:t>
            </w:r>
          </w:p>
        </w:tc>
      </w:tr>
      <w:tr>
        <w:trPr>
          <w:cantSplit/>
        </w:trPr>
        <w:tc>
          <w:tcPr>
            <w:tcW w:type="auto" w:w="0"/>
          </w:tcPr>
          <w:p>
            <w:pPr>
              <w:spacing w:before="0" w:after="0" w:line="276" w:lineRule="auto"/>
            </w:pPr>
            <w:r>
              <w:rPr>
                <w:b/>
                <w:sz w:val="16"/>
              </w:rPr>
              <w:t>Course Title</w:t>
            </w:r>
          </w:p>
        </w:tc>
        <w:tc>
          <w:tcPr>
            <w:tcW w:type="auto" w:w="0"/>
          </w:tcPr>
          <w:p>
            <w:pPr>
              <w:spacing w:before="0" w:after="0" w:line="276" w:lineRule="auto"/>
            </w:pPr>
            <w:r>
              <w:rPr>
                <w:sz w:val="16"/>
              </w:rPr>
              <w:t>Business Communication</w:t>
            </w:r>
          </w:p>
        </w:tc>
      </w:tr>
      <w:tr>
        <w:trPr>
          <w:cantSplit/>
        </w:trPr>
        <w:tc>
          <w:tcPr>
            <w:tcW w:type="auto" w:w="0"/>
          </w:tcPr>
          <w:p>
            <w:pPr>
              <w:spacing w:before="0" w:after="0" w:line="276" w:lineRule="auto"/>
            </w:pPr>
            <w:r>
              <w:rPr>
                <w:b/>
                <w:sz w:val="16"/>
              </w:rPr>
              <w:t>Program</w:t>
            </w:r>
          </w:p>
        </w:tc>
        <w:tc>
          <w:tcPr>
            <w:tcW w:type="auto" w:w="0"/>
          </w:tcPr>
          <w:p>
            <w:pPr>
              <w:spacing w:before="0" w:after="0" w:line="276" w:lineRule="auto"/>
            </w:pPr>
            <w:r>
              <w:rPr>
                <w:sz w:val="16"/>
              </w:rPr>
              <w:t>Bachelor of Business Administration</w:t>
            </w:r>
          </w:p>
        </w:tc>
      </w:tr>
      <w:tr>
        <w:trPr>
          <w:cantSplit/>
        </w:trPr>
        <w:tc>
          <w:tcPr>
            <w:tcW w:type="auto" w:w="0"/>
          </w:tcPr>
          <w:p>
            <w:pPr>
              <w:spacing w:before="0" w:after="0" w:line="276" w:lineRule="auto"/>
            </w:pPr>
            <w:r>
              <w:rPr>
                <w:b/>
                <w:sz w:val="16"/>
              </w:rPr>
              <w:t>Duration</w:t>
            </w:r>
          </w:p>
        </w:tc>
        <w:tc>
          <w:tcPr>
            <w:tcW w:type="auto" w:w="0"/>
          </w:tcPr>
          <w:p>
            <w:pPr>
              <w:spacing w:before="0" w:after="0" w:line="276" w:lineRule="auto"/>
            </w:pPr>
            <w:r>
              <w:rPr>
                <w:sz w:val="16"/>
              </w:rPr>
              <w:t>12 weeks</w:t>
            </w:r>
          </w:p>
        </w:tc>
      </w:tr>
      <w:tr>
        <w:trPr>
          <w:cantSplit/>
        </w:trPr>
        <w:tc>
          <w:tcPr>
            <w:tcW w:type="auto" w:w="0"/>
          </w:tcPr>
          <w:p>
            <w:pPr>
              <w:spacing w:before="0" w:after="0" w:line="276" w:lineRule="auto"/>
            </w:pPr>
            <w:r>
              <w:rPr>
                <w:b/>
                <w:sz w:val="16"/>
              </w:rPr>
              <w:t>Instructor</w:t>
            </w:r>
          </w:p>
        </w:tc>
        <w:tc>
          <w:tcPr>
            <w:tcW w:type="auto" w:w="0"/>
          </w:tcPr>
          <w:p>
            <w:pPr>
              <w:spacing w:before="0" w:after="0" w:line="276" w:lineRule="auto"/>
            </w:pPr>
            <w:r>
              <w:rPr>
                <w:sz w:val="16"/>
              </w:rPr>
              <w:t>William Winterton Lang</w:t>
            </w:r>
          </w:p>
        </w:tc>
      </w:tr>
      <w:tr>
        <w:trPr>
          <w:cantSplit/>
        </w:trPr>
        <w:tc>
          <w:tcPr>
            <w:tcW w:type="auto" w:w="0"/>
          </w:tcPr>
          <w:p>
            <w:pPr>
              <w:spacing w:before="0" w:after="0" w:line="276" w:lineRule="auto"/>
            </w:pPr>
            <w:r>
              <w:rPr>
                <w:b/>
                <w:sz w:val="16"/>
              </w:rPr>
              <w:t>Email</w:t>
            </w:r>
          </w:p>
        </w:tc>
        <w:tc>
          <w:tcPr>
            <w:tcW w:type="auto" w:w="0"/>
          </w:tcPr>
          <w:p>
            <w:pPr>
              <w:spacing w:before="0" w:after="0" w:line="276" w:lineRule="auto"/>
            </w:pPr>
            <w:r>
              <w:rPr>
                <w:sz w:val="16"/>
              </w:rPr>
              <w:t>wil.hoang@gmail.com</w:t>
            </w:r>
          </w:p>
        </w:tc>
      </w:tr>
      <w:tr>
        <w:trPr>
          <w:cantSplit/>
        </w:trPr>
        <w:tc>
          <w:tcPr>
            <w:tcW w:type="auto" w:w="0"/>
          </w:tcPr>
          <w:p>
            <w:pPr>
              <w:spacing w:before="0" w:after="0" w:line="276" w:lineRule="auto"/>
            </w:pPr>
            <w:r>
              <w:rPr>
                <w:b/>
                <w:sz w:val="16"/>
              </w:rPr>
              <w:t>Phone</w:t>
            </w:r>
          </w:p>
        </w:tc>
        <w:tc>
          <w:tcPr>
            <w:tcW w:type="auto" w:w="0"/>
          </w:tcPr>
          <w:p>
            <w:pPr>
              <w:spacing w:before="0" w:after="0" w:line="276" w:lineRule="auto"/>
            </w:pPr>
            <w:r>
              <w:rPr>
                <w:sz w:val="16"/>
              </w:rPr>
              <w:t>(+84) 344 347 703</w:t>
            </w:r>
          </w:p>
        </w:tc>
      </w:tr>
    </w:tbl>
    <w:p>
      <w:pPr>
        <w:pStyle w:val="Heading1"/>
        <w:keepNext/>
        <w:spacing w:before="240" w:after="120"/>
      </w:pPr>
      <w:r>
        <w:rPr>
          <w:b/>
          <w:sz w:val="16"/>
        </w:rPr>
        <w:t>COURSE DESCRIPTION</w:t>
      </w:r>
    </w:p>
    <w:p>
      <w:pPr>
        <w:spacing w:before="0" w:after="120"/>
      </w:pPr>
      <w:r>
        <w:rPr>
          <w:sz w:val="16"/>
        </w:rPr>
        <w:t>This course develops strategic communication competencies essential for professional success in the modern business environment. Drawing on curriculum approaches from leading business schools including Harvard, Stanford, MIT Sloan, Wharton, Columbia, Kellogg, and Chicago Booth, students will master written, oral, and interpersonal communication across diverse cultural and organizational contexts.</w:t>
      </w:r>
    </w:p>
    <w:p>
      <w:pPr>
        <w:spacing w:before="0" w:after="120"/>
      </w:pPr>
      <w:r>
        <w:rPr>
          <w:sz w:val="16"/>
        </w:rPr>
        <w:t>The course emphasizes practical application: students will compose professional business documents, deliver presentations, and engage with realistic communication challenges. The curriculum follows a progressive skill-building approach, moving from foundational writing skills through oral presentation mastery to specialized contexts including cross-cultural communication and high-stakes executive communication.</w:t>
      </w:r>
    </w:p>
    <w:p>
      <w:pPr>
        <w:spacing w:before="0" w:after="120"/>
      </w:pPr>
      <w:r>
        <w:rPr>
          <w:sz w:val="16"/>
        </w:rPr>
        <w:t>By combining foundational communication principles with evidence-based frameworks, this course prepares students to communicate with clarity, cultural intelligence, and strategic impact—competencies that distinguish high performers in an increasingly interconnected global marketplace.</w:t>
      </w:r>
    </w:p>
    <w:p>
      <w:pPr>
        <w:pStyle w:val="Heading1"/>
        <w:keepNext/>
        <w:spacing w:before="240" w:after="120"/>
      </w:pPr>
      <w:r>
        <w:rPr>
          <w:b/>
          <w:sz w:val="16"/>
        </w:rPr>
        <w:t>LEARNING OBJECTIVES</w:t>
      </w:r>
    </w:p>
    <w:p>
      <w:pPr>
        <w:spacing w:before="0" w:after="120"/>
      </w:pPr>
      <w:r>
        <w:rPr>
          <w:sz w:val="16"/>
        </w:rPr>
        <w:t>Upon successful completion of this course, students will be able to:</w:t>
      </w:r>
    </w:p>
    <w:p>
      <w:pPr>
        <w:spacing w:before="0" w:after="0" w:line="276" w:lineRule="auto"/>
        <w:ind w:left="283"/>
      </w:pPr>
      <w:r>
        <w:rPr>
          <w:sz w:val="20"/>
        </w:rPr>
        <w:t xml:space="preserve">1. </w:t>
      </w:r>
      <w:r>
        <w:rPr>
          <w:b/>
          <w:sz w:val="16"/>
        </w:rPr>
        <w:t>Analyze</w:t>
      </w:r>
      <w:r>
        <w:rPr>
          <w:sz w:val="16"/>
        </w:rPr>
        <w:t xml:space="preserve"> audiences, contexts, and communication challenges to formulate effective communication strategies for any business situation</w:t>
      </w:r>
    </w:p>
    <w:p>
      <w:pPr>
        <w:spacing w:before="0" w:after="0" w:line="276" w:lineRule="auto"/>
        <w:ind w:left="283"/>
      </w:pPr>
      <w:r>
        <w:rPr>
          <w:sz w:val="20"/>
        </w:rPr>
        <w:t xml:space="preserve">2. </w:t>
      </w:r>
      <w:r>
        <w:rPr>
          <w:b/>
          <w:sz w:val="16"/>
        </w:rPr>
        <w:t>Develop</w:t>
      </w:r>
      <w:r>
        <w:rPr>
          <w:sz w:val="16"/>
        </w:rPr>
        <w:t xml:space="preserve"> clearly organized, persuasive written communications (memos, reports, executive summaries) using structured frameworks including the Pyramid Principle</w:t>
      </w:r>
    </w:p>
    <w:p>
      <w:pPr>
        <w:spacing w:before="0" w:after="0" w:line="276" w:lineRule="auto"/>
        <w:ind w:left="283"/>
      </w:pPr>
      <w:r>
        <w:rPr>
          <w:sz w:val="20"/>
        </w:rPr>
        <w:t xml:space="preserve">3. </w:t>
      </w:r>
      <w:r>
        <w:rPr>
          <w:b/>
          <w:sz w:val="16"/>
        </w:rPr>
        <w:t>Deliver</w:t>
      </w:r>
      <w:r>
        <w:rPr>
          <w:sz w:val="16"/>
        </w:rPr>
        <w:t xml:space="preserve"> confident, engaging oral presentations that achieve intended outcomes with diverse audiences</w:t>
      </w:r>
    </w:p>
    <w:p>
      <w:pPr>
        <w:spacing w:before="0" w:after="0" w:line="276" w:lineRule="auto"/>
        <w:ind w:left="283"/>
      </w:pPr>
      <w:r>
        <w:rPr>
          <w:sz w:val="20"/>
        </w:rPr>
        <w:t xml:space="preserve">4. </w:t>
      </w:r>
      <w:r>
        <w:rPr>
          <w:b/>
          <w:sz w:val="16"/>
        </w:rPr>
        <w:t>Demonstrate</w:t>
      </w:r>
      <w:r>
        <w:rPr>
          <w:sz w:val="16"/>
        </w:rPr>
        <w:t xml:space="preserve"> executive presence and authentic communication style in high-stakes business contexts</w:t>
      </w:r>
    </w:p>
    <w:p>
      <w:pPr>
        <w:spacing w:before="0" w:after="0" w:line="276" w:lineRule="auto"/>
        <w:ind w:left="283"/>
      </w:pPr>
      <w:r>
        <w:rPr>
          <w:sz w:val="20"/>
        </w:rPr>
        <w:t xml:space="preserve">5. </w:t>
      </w:r>
      <w:r>
        <w:rPr>
          <w:b/>
          <w:sz w:val="16"/>
        </w:rPr>
        <w:t>Apply</w:t>
      </w:r>
      <w:r>
        <w:rPr>
          <w:sz w:val="16"/>
        </w:rPr>
        <w:t xml:space="preserve"> principles of persuasion, storytelling, and cross-cultural awareness to influence and inspire action</w:t>
      </w:r>
    </w:p>
    <w:p>
      <w:pPr>
        <w:spacing w:before="0" w:after="0" w:line="276" w:lineRule="auto"/>
        <w:ind w:left="283"/>
      </w:pPr>
      <w:r>
        <w:rPr>
          <w:sz w:val="20"/>
        </w:rPr>
        <w:t xml:space="preserve">6. </w:t>
      </w:r>
      <w:r>
        <w:rPr>
          <w:b/>
          <w:sz w:val="16"/>
        </w:rPr>
        <w:t>Evaluate</w:t>
      </w:r>
      <w:r>
        <w:rPr>
          <w:sz w:val="16"/>
        </w:rPr>
        <w:t xml:space="preserve"> personal communication effectiveness through self-reflection and integrate feedback for continuous improvement</w:t>
      </w:r>
    </w:p>
    <w:p>
      <w:pPr>
        <w:pStyle w:val="Heading1"/>
        <w:keepNext/>
        <w:spacing w:before="240" w:after="120"/>
      </w:pPr>
      <w:r>
        <w:rPr>
          <w:b/>
          <w:sz w:val="16"/>
        </w:rPr>
        <w:t>REQUIRED MATERIALS</w:t>
      </w:r>
    </w:p>
    <w:p>
      <w:pPr>
        <w:pStyle w:val="Heading2"/>
        <w:keepNext/>
        <w:spacing w:before="240" w:after="120"/>
      </w:pPr>
      <w:r>
        <w:rPr>
          <w:b/>
          <w:sz w:val="16"/>
        </w:rPr>
        <w:t>Required Articles</w:t>
      </w:r>
    </w:p>
    <w:p>
      <w:pPr>
        <w:spacing w:before="0" w:after="120"/>
      </w:pPr>
      <w:r>
        <w:rPr>
          <w:sz w:val="16"/>
        </w:rPr>
        <w:t>All articles listed in the weekly schedule below are required reading and are openly accessible.</w:t>
      </w:r>
    </w:p>
    <w:p>
      <w:pPr>
        <w:pStyle w:val="Heading1"/>
        <w:keepNext/>
        <w:spacing w:before="240" w:after="120"/>
      </w:pPr>
      <w:r>
        <w:rPr>
          <w:b/>
          <w:sz w:val="16"/>
        </w:rPr>
        <w:t>ASSESSMENT &amp; GRADING</w:t>
      </w:r>
    </w:p>
    <w:p>
      <w:pPr>
        <w:pStyle w:val="Heading2"/>
        <w:keepNext/>
        <w:spacing w:before="240" w:after="120"/>
      </w:pPr>
      <w:r>
        <w:rPr>
          <w:b/>
          <w:sz w:val="16"/>
        </w:rPr>
        <w:t>Grading Distribution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Assessment Component</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Details</w:t>
            </w:r>
          </w:p>
        </w:tc>
      </w:tr>
      <w:tr>
        <w:trPr>
          <w:cantSplit/>
        </w:trPr>
        <w:tc>
          <w:tcPr>
            <w:tcW w:type="auto" w:w="0"/>
          </w:tcPr>
          <w:p>
            <w:pPr>
              <w:spacing w:before="0" w:after="0" w:line="276" w:lineRule="auto"/>
            </w:pPr>
            <w:r>
              <w:rPr>
                <w:sz w:val="16"/>
              </w:rPr>
              <w:t>Portfolio of Written Work</w:t>
            </w:r>
          </w:p>
        </w:tc>
        <w:tc>
          <w:tcPr>
            <w:tcW w:type="auto" w:w="0"/>
          </w:tcPr>
          <w:p>
            <w:pPr>
              <w:spacing w:before="0" w:after="0" w:line="276" w:lineRule="auto"/>
            </w:pPr>
            <w:r>
              <w:rPr>
                <w:sz w:val="16"/>
              </w:rPr>
              <w:t>35%</w:t>
            </w:r>
          </w:p>
        </w:tc>
        <w:tc>
          <w:tcPr>
            <w:tcW w:type="auto" w:w="0"/>
          </w:tcPr>
          <w:p>
            <w:pPr>
              <w:spacing w:before="0" w:after="0" w:line="276" w:lineRule="auto"/>
            </w:pPr>
            <w:r>
              <w:rPr>
                <w:sz w:val="16"/>
              </w:rPr>
              <w:t>3 business documents demonstrating progressive skill development</w:t>
            </w:r>
          </w:p>
        </w:tc>
      </w:tr>
      <w:tr>
        <w:trPr>
          <w:cantSplit/>
        </w:trPr>
        <w:tc>
          <w:tcPr>
            <w:tcW w:type="auto" w:w="0"/>
          </w:tcPr>
          <w:p>
            <w:pPr>
              <w:spacing w:before="0" w:after="0" w:line="276" w:lineRule="auto"/>
            </w:pPr>
            <w:r>
              <w:rPr>
                <w:sz w:val="16"/>
              </w:rPr>
              <w:t>Group Presentation</w:t>
            </w:r>
          </w:p>
        </w:tc>
        <w:tc>
          <w:tcPr>
            <w:tcW w:type="auto" w:w="0"/>
          </w:tcPr>
          <w:p>
            <w:pPr>
              <w:spacing w:before="0" w:after="0" w:line="276" w:lineRule="auto"/>
            </w:pPr>
            <w:r>
              <w:rPr>
                <w:sz w:val="16"/>
              </w:rPr>
              <w:t>25%</w:t>
            </w:r>
          </w:p>
        </w:tc>
        <w:tc>
          <w:tcPr>
            <w:tcW w:type="auto" w:w="0"/>
          </w:tcPr>
          <w:p>
            <w:pPr>
              <w:spacing w:before="0" w:after="0" w:line="276" w:lineRule="auto"/>
            </w:pPr>
            <w:r>
              <w:rPr>
                <w:sz w:val="16"/>
              </w:rPr>
              <w:t>15-minute team presentation + 10-minute Q&amp;A</w:t>
            </w:r>
          </w:p>
        </w:tc>
      </w:tr>
      <w:tr>
        <w:trPr>
          <w:cantSplit/>
        </w:trPr>
        <w:tc>
          <w:tcPr>
            <w:tcW w:type="auto" w:w="0"/>
          </w:tcPr>
          <w:p>
            <w:pPr>
              <w:spacing w:before="0" w:after="0" w:line="276" w:lineRule="auto"/>
            </w:pPr>
            <w:r>
              <w:rPr>
                <w:sz w:val="16"/>
              </w:rPr>
              <w:t>Individual Presentation Grade</w:t>
            </w:r>
          </w:p>
        </w:tc>
        <w:tc>
          <w:tcPr>
            <w:tcW w:type="auto" w:w="0"/>
          </w:tcPr>
          <w:p>
            <w:pPr>
              <w:spacing w:before="0" w:after="0" w:line="276" w:lineRule="auto"/>
            </w:pPr>
            <w:r>
              <w:rPr>
                <w:sz w:val="16"/>
              </w:rPr>
              <w:t>15%</w:t>
            </w:r>
          </w:p>
        </w:tc>
        <w:tc>
          <w:tcPr>
            <w:tcW w:type="auto" w:w="0"/>
          </w:tcPr>
          <w:p>
            <w:pPr>
              <w:spacing w:before="0" w:after="0" w:line="276" w:lineRule="auto"/>
            </w:pPr>
            <w:r>
              <w:rPr>
                <w:sz w:val="16"/>
              </w:rPr>
              <w:t>Individual assessment within group presentation</w:t>
            </w:r>
          </w:p>
        </w:tc>
      </w:tr>
      <w:tr>
        <w:trPr>
          <w:cantSplit/>
        </w:trPr>
        <w:tc>
          <w:tcPr>
            <w:tcW w:type="auto" w:w="0"/>
          </w:tcPr>
          <w:p>
            <w:pPr>
              <w:spacing w:before="0" w:after="0" w:line="276" w:lineRule="auto"/>
            </w:pPr>
            <w:r>
              <w:rPr>
                <w:sz w:val="16"/>
              </w:rPr>
              <w:t>In-Class Quiz</w:t>
            </w:r>
          </w:p>
        </w:tc>
        <w:tc>
          <w:tcPr>
            <w:tcW w:type="auto" w:w="0"/>
          </w:tcPr>
          <w:p>
            <w:pPr>
              <w:spacing w:before="0" w:after="0" w:line="276" w:lineRule="auto"/>
            </w:pPr>
            <w:r>
              <w:rPr>
                <w:sz w:val="16"/>
              </w:rPr>
              <w:t>15%</w:t>
            </w:r>
          </w:p>
        </w:tc>
        <w:tc>
          <w:tcPr>
            <w:tcW w:type="auto" w:w="0"/>
          </w:tcPr>
          <w:p>
            <w:pPr>
              <w:spacing w:before="0" w:after="0" w:line="276" w:lineRule="auto"/>
            </w:pPr>
            <w:r>
              <w:rPr>
                <w:sz w:val="16"/>
              </w:rPr>
              <w:t>Comprehensive quiz on course concepts and frameworks</w:t>
            </w:r>
          </w:p>
        </w:tc>
      </w:tr>
      <w:tr>
        <w:trPr>
          <w:cantSplit/>
        </w:trPr>
        <w:tc>
          <w:tcPr>
            <w:tcW w:type="auto" w:w="0"/>
          </w:tcPr>
          <w:p>
            <w:pPr>
              <w:spacing w:before="0" w:after="0" w:line="276" w:lineRule="auto"/>
            </w:pPr>
            <w:r>
              <w:rPr>
                <w:sz w:val="16"/>
              </w:rPr>
              <w:t>Participation</w:t>
            </w:r>
          </w:p>
        </w:tc>
        <w:tc>
          <w:tcPr>
            <w:tcW w:type="auto" w:w="0"/>
          </w:tcPr>
          <w:p>
            <w:pPr>
              <w:spacing w:before="0" w:after="0" w:line="276" w:lineRule="auto"/>
            </w:pPr>
            <w:r>
              <w:rPr>
                <w:sz w:val="16"/>
              </w:rPr>
              <w:t>10%</w:t>
            </w:r>
          </w:p>
        </w:tc>
        <w:tc>
          <w:tcPr>
            <w:tcW w:type="auto" w:w="0"/>
          </w:tcPr>
          <w:p>
            <w:pPr>
              <w:spacing w:before="0" w:after="0" w:line="276" w:lineRule="auto"/>
            </w:pPr>
            <w:r>
              <w:rPr>
                <w:sz w:val="16"/>
              </w:rPr>
              <w:t>Attendance (5%) + Active engagement (5%)</w:t>
            </w:r>
          </w:p>
        </w:tc>
      </w:tr>
    </w:tbl>
    <w:p>
      <w:pPr>
        <w:pStyle w:val="Heading2"/>
        <w:keepNext/>
        <w:spacing w:before="240" w:after="120"/>
      </w:pPr>
      <w:r>
        <w:rPr>
          <w:b/>
          <w:sz w:val="16"/>
        </w:rPr>
        <w:t>Detailed Assessment Breakdown</w:t>
      </w:r>
    </w:p>
    <w:p>
      <w:pPr>
        <w:pStyle w:val="Heading3"/>
        <w:keepNext/>
        <w:spacing w:before="240" w:after="120"/>
      </w:pPr>
      <w:r>
        <w:rPr>
          <w:i/>
          <w:sz w:val="16"/>
        </w:rPr>
      </w:r>
      <w:r>
        <w:rPr>
          <w:b/>
          <w:sz w:val="16"/>
        </w:rPr>
        <w:t>Written Portfolio (35%)</w:t>
      </w:r>
      <w:r>
        <w:rPr>
          <w:i/>
          <w:sz w:val="16"/>
        </w:rPr>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Assignment</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Due Week</w:t>
            </w:r>
          </w:p>
        </w:tc>
      </w:tr>
      <w:tr>
        <w:trPr>
          <w:cantSplit/>
        </w:trPr>
        <w:tc>
          <w:tcPr>
            <w:tcW w:type="auto" w:w="0"/>
          </w:tcPr>
          <w:p>
            <w:pPr>
              <w:spacing w:before="0" w:after="0" w:line="276" w:lineRule="auto"/>
            </w:pPr>
            <w:r>
              <w:rPr>
                <w:sz w:val="16"/>
              </w:rPr>
              <w:t>Business Memo: Audience Analysis</w:t>
            </w:r>
          </w:p>
        </w:tc>
        <w:tc>
          <w:tcPr>
            <w:tcW w:type="auto" w:w="0"/>
          </w:tcPr>
          <w:p>
            <w:pPr>
              <w:spacing w:before="0" w:after="0" w:line="276" w:lineRule="auto"/>
            </w:pPr>
            <w:r>
              <w:rPr>
                <w:sz w:val="16"/>
              </w:rPr>
              <w:t>10%</w:t>
            </w:r>
          </w:p>
        </w:tc>
        <w:tc>
          <w:tcPr>
            <w:tcW w:type="auto" w:w="0"/>
          </w:tcPr>
          <w:p>
            <w:pPr>
              <w:spacing w:before="0" w:after="0" w:line="276" w:lineRule="auto"/>
            </w:pPr>
            <w:r>
              <w:rPr>
                <w:sz w:val="16"/>
              </w:rPr>
              <w:t>Week 4</w:t>
            </w:r>
          </w:p>
        </w:tc>
      </w:tr>
      <w:tr>
        <w:trPr>
          <w:cantSplit/>
        </w:trPr>
        <w:tc>
          <w:tcPr>
            <w:tcW w:type="auto" w:w="0"/>
          </w:tcPr>
          <w:p>
            <w:pPr>
              <w:spacing w:before="0" w:after="0" w:line="276" w:lineRule="auto"/>
            </w:pPr>
            <w:r>
              <w:rPr>
                <w:sz w:val="16"/>
              </w:rPr>
              <w:t>Persuasive Proposal</w:t>
            </w:r>
          </w:p>
        </w:tc>
        <w:tc>
          <w:tcPr>
            <w:tcW w:type="auto" w:w="0"/>
          </w:tcPr>
          <w:p>
            <w:pPr>
              <w:spacing w:before="0" w:after="0" w:line="276" w:lineRule="auto"/>
            </w:pPr>
            <w:r>
              <w:rPr>
                <w:sz w:val="16"/>
              </w:rPr>
              <w:t>15%</w:t>
            </w:r>
          </w:p>
        </w:tc>
        <w:tc>
          <w:tcPr>
            <w:tcW w:type="auto" w:w="0"/>
          </w:tcPr>
          <w:p>
            <w:pPr>
              <w:spacing w:before="0" w:after="0" w:line="276" w:lineRule="auto"/>
            </w:pPr>
            <w:r>
              <w:rPr>
                <w:sz w:val="16"/>
              </w:rPr>
              <w:t>Week 7</w:t>
            </w:r>
          </w:p>
        </w:tc>
      </w:tr>
      <w:tr>
        <w:trPr>
          <w:cantSplit/>
        </w:trPr>
        <w:tc>
          <w:tcPr>
            <w:tcW w:type="auto" w:w="0"/>
          </w:tcPr>
          <w:p>
            <w:pPr>
              <w:spacing w:before="0" w:after="0" w:line="276" w:lineRule="auto"/>
            </w:pPr>
            <w:r>
              <w:rPr>
                <w:sz w:val="16"/>
              </w:rPr>
              <w:t>Executive Summary</w:t>
            </w:r>
          </w:p>
        </w:tc>
        <w:tc>
          <w:tcPr>
            <w:tcW w:type="auto" w:w="0"/>
          </w:tcPr>
          <w:p>
            <w:pPr>
              <w:spacing w:before="0" w:after="0" w:line="276" w:lineRule="auto"/>
            </w:pPr>
            <w:r>
              <w:rPr>
                <w:sz w:val="16"/>
              </w:rPr>
              <w:t>10%</w:t>
            </w:r>
          </w:p>
        </w:tc>
        <w:tc>
          <w:tcPr>
            <w:tcW w:type="auto" w:w="0"/>
          </w:tcPr>
          <w:p>
            <w:pPr>
              <w:spacing w:before="0" w:after="0" w:line="276" w:lineRule="auto"/>
            </w:pPr>
            <w:r>
              <w:rPr>
                <w:sz w:val="16"/>
              </w:rPr>
              <w:t>Week 10</w:t>
            </w:r>
          </w:p>
        </w:tc>
      </w:tr>
    </w:tbl>
    <w:p>
      <w:pPr>
        <w:pStyle w:val="Heading3"/>
        <w:keepNext/>
        <w:spacing w:before="240" w:after="120"/>
      </w:pPr>
      <w:r>
        <w:rPr>
          <w:i/>
          <w:sz w:val="16"/>
        </w:rPr>
      </w:r>
      <w:r>
        <w:rPr>
          <w:b/>
          <w:sz w:val="16"/>
        </w:rPr>
        <w:t>Presentations (40%)</w:t>
      </w:r>
      <w:r>
        <w:rPr>
          <w:i/>
          <w:sz w:val="16"/>
        </w:rPr>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Assignment</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Due Week</w:t>
            </w:r>
          </w:p>
        </w:tc>
      </w:tr>
      <w:tr>
        <w:trPr>
          <w:cantSplit/>
        </w:trPr>
        <w:tc>
          <w:tcPr>
            <w:tcW w:type="auto" w:w="0"/>
          </w:tcPr>
          <w:p>
            <w:pPr>
              <w:spacing w:before="0" w:after="0" w:line="276" w:lineRule="auto"/>
            </w:pPr>
            <w:r>
              <w:rPr>
                <w:sz w:val="16"/>
              </w:rPr>
              <w:t>Group Presentation (15 min + 10 min Q&amp;A)</w:t>
            </w:r>
          </w:p>
        </w:tc>
        <w:tc>
          <w:tcPr>
            <w:tcW w:type="auto" w:w="0"/>
          </w:tcPr>
          <w:p>
            <w:pPr>
              <w:spacing w:before="0" w:after="0" w:line="276" w:lineRule="auto"/>
            </w:pPr>
            <w:r>
              <w:rPr>
                <w:sz w:val="16"/>
              </w:rPr>
              <w:t>25%</w:t>
            </w:r>
          </w:p>
        </w:tc>
        <w:tc>
          <w:tcPr>
            <w:tcW w:type="auto" w:w="0"/>
          </w:tcPr>
          <w:p>
            <w:pPr>
              <w:spacing w:before="0" w:after="0" w:line="276" w:lineRule="auto"/>
            </w:pPr>
            <w:r>
              <w:rPr>
                <w:sz w:val="16"/>
              </w:rPr>
              <w:t>Week 12</w:t>
            </w:r>
          </w:p>
        </w:tc>
      </w:tr>
      <w:tr>
        <w:trPr>
          <w:cantSplit/>
        </w:trPr>
        <w:tc>
          <w:tcPr>
            <w:tcW w:type="auto" w:w="0"/>
          </w:tcPr>
          <w:p>
            <w:pPr>
              <w:spacing w:before="0" w:after="0" w:line="276" w:lineRule="auto"/>
            </w:pPr>
            <w:r>
              <w:rPr>
                <w:sz w:val="16"/>
              </w:rPr>
              <w:t>Individual Presentation Grade</w:t>
            </w:r>
          </w:p>
        </w:tc>
        <w:tc>
          <w:tcPr>
            <w:tcW w:type="auto" w:w="0"/>
          </w:tcPr>
          <w:p>
            <w:pPr>
              <w:spacing w:before="0" w:after="0" w:line="276" w:lineRule="auto"/>
            </w:pPr>
            <w:r>
              <w:rPr>
                <w:sz w:val="16"/>
              </w:rPr>
              <w:t>15%</w:t>
            </w:r>
          </w:p>
        </w:tc>
        <w:tc>
          <w:tcPr>
            <w:tcW w:type="auto" w:w="0"/>
          </w:tcPr>
          <w:p>
            <w:pPr>
              <w:spacing w:before="0" w:after="0" w:line="276" w:lineRule="auto"/>
            </w:pPr>
            <w:r>
              <w:rPr>
                <w:sz w:val="16"/>
              </w:rPr>
              <w:t>Week 12</w:t>
            </w:r>
          </w:p>
        </w:tc>
      </w:tr>
    </w:tbl>
    <w:p>
      <w:pPr>
        <w:pStyle w:val="Heading3"/>
        <w:keepNext/>
        <w:spacing w:before="240" w:after="120"/>
      </w:pPr>
      <w:r>
        <w:rPr>
          <w:i/>
          <w:sz w:val="16"/>
        </w:rPr>
      </w:r>
      <w:r>
        <w:rPr>
          <w:b/>
          <w:sz w:val="16"/>
        </w:rPr>
        <w:t>In-Class Quiz (15%)</w:t>
      </w:r>
      <w:r>
        <w:rPr>
          <w:i/>
          <w:sz w:val="16"/>
        </w:rPr>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22"/>
        <w:gridCol w:w="2422"/>
        <w:gridCol w:w="2422"/>
        <w:gridCol w:w="2422"/>
      </w:tblGrid>
      <w:tr>
        <w:trPr>
          <w:cantSplit/>
          <w:tblHeader/>
        </w:trPr>
        <w:tc>
          <w:tcPr>
            <w:tcW w:type="auto" w:w="0"/>
            <w:shd w:val="clear" w:color="auto" w:fill="E2E8F0"/>
          </w:tcPr>
          <w:p>
            <w:pPr>
              <w:spacing w:before="0" w:after="0" w:line="276" w:lineRule="auto"/>
            </w:pPr>
            <w:r>
              <w:rPr>
                <w:b/>
                <w:sz w:val="16"/>
              </w:rPr>
              <w:t>Quiz</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Coverage</w:t>
            </w:r>
          </w:p>
        </w:tc>
        <w:tc>
          <w:tcPr>
            <w:tcW w:type="auto" w:w="0"/>
            <w:shd w:val="clear" w:color="auto" w:fill="E2E8F0"/>
          </w:tcPr>
          <w:p>
            <w:pPr>
              <w:spacing w:before="0" w:after="0" w:line="276" w:lineRule="auto"/>
            </w:pPr>
            <w:r>
              <w:rPr>
                <w:b/>
                <w:sz w:val="16"/>
              </w:rPr>
              <w:t>Week</w:t>
            </w:r>
          </w:p>
        </w:tc>
      </w:tr>
      <w:tr>
        <w:trPr>
          <w:cantSplit/>
        </w:trPr>
        <w:tc>
          <w:tcPr>
            <w:tcW w:type="auto" w:w="0"/>
          </w:tcPr>
          <w:p>
            <w:pPr>
              <w:spacing w:before="0" w:after="0" w:line="276" w:lineRule="auto"/>
            </w:pPr>
            <w:r>
              <w:rPr>
                <w:sz w:val="16"/>
              </w:rPr>
              <w:t>Comprehensive Quiz</w:t>
            </w:r>
          </w:p>
        </w:tc>
        <w:tc>
          <w:tcPr>
            <w:tcW w:type="auto" w:w="0"/>
          </w:tcPr>
          <w:p>
            <w:pPr>
              <w:spacing w:before="0" w:after="0" w:line="276" w:lineRule="auto"/>
            </w:pPr>
            <w:r>
              <w:rPr>
                <w:sz w:val="16"/>
              </w:rPr>
              <w:t>15%</w:t>
            </w:r>
          </w:p>
        </w:tc>
        <w:tc>
          <w:tcPr>
            <w:tcW w:type="auto" w:w="0"/>
          </w:tcPr>
          <w:p>
            <w:pPr>
              <w:spacing w:before="0" w:after="0" w:line="276" w:lineRule="auto"/>
            </w:pPr>
            <w:r>
              <w:rPr>
                <w:sz w:val="16"/>
              </w:rPr>
              <w:t>Weeks 1-10</w:t>
            </w:r>
          </w:p>
        </w:tc>
        <w:tc>
          <w:tcPr>
            <w:tcW w:type="auto" w:w="0"/>
          </w:tcPr>
          <w:p>
            <w:pPr>
              <w:spacing w:before="0" w:after="0" w:line="276" w:lineRule="auto"/>
            </w:pPr>
            <w:r>
              <w:rPr>
                <w:sz w:val="16"/>
              </w:rPr>
              <w:t>Week 11</w:t>
            </w:r>
          </w:p>
        </w:tc>
      </w:tr>
    </w:tbl>
    <w:p>
      <w:pPr>
        <w:pStyle w:val="Heading3"/>
        <w:keepNext/>
        <w:spacing w:before="240" w:after="120"/>
      </w:pPr>
      <w:r>
        <w:rPr>
          <w:i/>
          <w:sz w:val="16"/>
        </w:rPr>
      </w:r>
      <w:r>
        <w:rPr>
          <w:b/>
          <w:sz w:val="16"/>
        </w:rPr>
        <w:t>Grading Scale</w:t>
      </w:r>
      <w:r>
        <w:rPr>
          <w:i/>
          <w:sz w:val="16"/>
        </w:rPr>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745"/>
        <w:gridCol w:w="745"/>
        <w:gridCol w:w="745"/>
        <w:gridCol w:w="745"/>
        <w:gridCol w:w="745"/>
        <w:gridCol w:w="745"/>
        <w:gridCol w:w="745"/>
        <w:gridCol w:w="745"/>
        <w:gridCol w:w="745"/>
        <w:gridCol w:w="745"/>
        <w:gridCol w:w="745"/>
        <w:gridCol w:w="745"/>
        <w:gridCol w:w="745"/>
      </w:tblGrid>
      <w:tr>
        <w:trPr>
          <w:cantSplit/>
          <w:tblHeader/>
        </w:trPr>
        <w:tc>
          <w:tcPr>
            <w:tcW w:type="auto" w:w="0"/>
            <w:shd w:val="clear" w:color="auto" w:fill="E2E8F0"/>
          </w:tcPr>
          <w:p>
            <w:pPr>
              <w:spacing w:before="0" w:after="0" w:line="276" w:lineRule="auto"/>
            </w:pPr>
            <w:r>
              <w:rPr>
                <w:b/>
                <w:sz w:val="16"/>
              </w:rPr>
              <w:t>Grade</w:t>
            </w:r>
          </w:p>
        </w:tc>
        <w:tc>
          <w:tcPr>
            <w:tcW w:type="auto" w:w="0"/>
            <w:shd w:val="clear" w:color="auto" w:fill="E2E8F0"/>
          </w:tcPr>
          <w:p>
            <w:pPr>
              <w:spacing w:before="0" w:after="0" w:line="276" w:lineRule="auto"/>
            </w:pPr>
            <w:r>
              <w:rPr>
                <w:b/>
                <w:sz w:val="16"/>
              </w:rPr>
              <w:t>A</w:t>
            </w:r>
          </w:p>
        </w:tc>
        <w:tc>
          <w:tcPr>
            <w:tcW w:type="auto" w:w="0"/>
            <w:shd w:val="clear" w:color="auto" w:fill="E2E8F0"/>
          </w:tcPr>
          <w:p>
            <w:pPr>
              <w:spacing w:before="0" w:after="0" w:line="276" w:lineRule="auto"/>
            </w:pPr>
            <w:r>
              <w:rPr>
                <w:b/>
                <w:sz w:val="16"/>
              </w:rPr>
              <w:t>A-</w:t>
            </w:r>
          </w:p>
        </w:tc>
        <w:tc>
          <w:tcPr>
            <w:tcW w:type="auto" w:w="0"/>
            <w:shd w:val="clear" w:color="auto" w:fill="E2E8F0"/>
          </w:tcPr>
          <w:p>
            <w:pPr>
              <w:spacing w:before="0" w:after="0" w:line="276" w:lineRule="auto"/>
            </w:pPr>
            <w:r>
              <w:rPr>
                <w:b/>
                <w:sz w:val="16"/>
              </w:rPr>
              <w:t>B+</w:t>
            </w:r>
          </w:p>
        </w:tc>
        <w:tc>
          <w:tcPr>
            <w:tcW w:type="auto" w:w="0"/>
            <w:shd w:val="clear" w:color="auto" w:fill="E2E8F0"/>
          </w:tcPr>
          <w:p>
            <w:pPr>
              <w:spacing w:before="0" w:after="0" w:line="276" w:lineRule="auto"/>
            </w:pPr>
            <w:r>
              <w:rPr>
                <w:b/>
                <w:sz w:val="16"/>
              </w:rPr>
              <w:t>B</w:t>
            </w:r>
          </w:p>
        </w:tc>
        <w:tc>
          <w:tcPr>
            <w:tcW w:type="auto" w:w="0"/>
            <w:shd w:val="clear" w:color="auto" w:fill="E2E8F0"/>
          </w:tcPr>
          <w:p>
            <w:pPr>
              <w:spacing w:before="0" w:after="0" w:line="276" w:lineRule="auto"/>
            </w:pPr>
            <w:r>
              <w:rPr>
                <w:b/>
                <w:sz w:val="16"/>
              </w:rPr>
              <w:t>B-</w:t>
            </w:r>
          </w:p>
        </w:tc>
        <w:tc>
          <w:tcPr>
            <w:tcW w:type="auto" w:w="0"/>
            <w:shd w:val="clear" w:color="auto" w:fill="E2E8F0"/>
          </w:tcPr>
          <w:p>
            <w:pPr>
              <w:spacing w:before="0" w:after="0" w:line="276" w:lineRule="auto"/>
            </w:pPr>
            <w:r>
              <w:rPr>
                <w:b/>
                <w:sz w:val="16"/>
              </w:rPr>
              <w:t>C+</w:t>
            </w:r>
          </w:p>
        </w:tc>
        <w:tc>
          <w:tcPr>
            <w:tcW w:type="auto" w:w="0"/>
            <w:shd w:val="clear" w:color="auto" w:fill="E2E8F0"/>
          </w:tcPr>
          <w:p>
            <w:pPr>
              <w:spacing w:before="0" w:after="0" w:line="276" w:lineRule="auto"/>
            </w:pPr>
            <w:r>
              <w:rPr>
                <w:b/>
                <w:sz w:val="16"/>
              </w:rPr>
              <w:t>C</w:t>
            </w:r>
          </w:p>
        </w:tc>
        <w:tc>
          <w:tcPr>
            <w:tcW w:type="auto" w:w="0"/>
            <w:shd w:val="clear" w:color="auto" w:fill="E2E8F0"/>
          </w:tcPr>
          <w:p>
            <w:pPr>
              <w:spacing w:before="0" w:after="0" w:line="276" w:lineRule="auto"/>
            </w:pPr>
            <w:r>
              <w:rPr>
                <w:b/>
                <w:sz w:val="16"/>
              </w:rPr>
              <w:t>C-</w:t>
            </w:r>
          </w:p>
        </w:tc>
        <w:tc>
          <w:tcPr>
            <w:tcW w:type="auto" w:w="0"/>
            <w:shd w:val="clear" w:color="auto" w:fill="E2E8F0"/>
          </w:tcPr>
          <w:p>
            <w:pPr>
              <w:spacing w:before="0" w:after="0" w:line="276" w:lineRule="auto"/>
            </w:pPr>
            <w:r>
              <w:rPr>
                <w:b/>
                <w:sz w:val="16"/>
              </w:rPr>
              <w:t>D+</w:t>
            </w:r>
          </w:p>
        </w:tc>
        <w:tc>
          <w:tcPr>
            <w:tcW w:type="auto" w:w="0"/>
            <w:shd w:val="clear" w:color="auto" w:fill="E2E8F0"/>
          </w:tcPr>
          <w:p>
            <w:pPr>
              <w:spacing w:before="0" w:after="0" w:line="276" w:lineRule="auto"/>
            </w:pPr>
            <w:r>
              <w:rPr>
                <w:b/>
                <w:sz w:val="16"/>
              </w:rPr>
              <w:t>D</w:t>
            </w:r>
          </w:p>
        </w:tc>
        <w:tc>
          <w:tcPr>
            <w:tcW w:type="auto" w:w="0"/>
            <w:shd w:val="clear" w:color="auto" w:fill="E2E8F0"/>
          </w:tcPr>
          <w:p>
            <w:pPr>
              <w:spacing w:before="0" w:after="0" w:line="276" w:lineRule="auto"/>
            </w:pPr>
            <w:r>
              <w:rPr>
                <w:b/>
                <w:sz w:val="16"/>
              </w:rPr>
              <w:t>D-</w:t>
            </w:r>
          </w:p>
        </w:tc>
        <w:tc>
          <w:tcPr>
            <w:tcW w:type="auto" w:w="0"/>
            <w:shd w:val="clear" w:color="auto" w:fill="E2E8F0"/>
          </w:tcPr>
          <w:p>
            <w:pPr>
              <w:spacing w:before="0" w:after="0" w:line="276" w:lineRule="auto"/>
            </w:pPr>
            <w:r>
              <w:rPr>
                <w:b/>
                <w:sz w:val="16"/>
              </w:rPr>
              <w:t>F</w:t>
            </w:r>
          </w:p>
        </w:tc>
      </w:tr>
      <w:tr>
        <w:trPr>
          <w:cantSplit/>
        </w:trPr>
        <w:tc>
          <w:tcPr>
            <w:tcW w:type="auto" w:w="0"/>
          </w:tcPr>
          <w:p>
            <w:pPr>
              <w:spacing w:before="0" w:after="0" w:line="276" w:lineRule="auto"/>
            </w:pPr>
            <w:r>
              <w:rPr>
                <w:b/>
                <w:sz w:val="16"/>
              </w:rPr>
              <w:t>%</w:t>
            </w:r>
          </w:p>
        </w:tc>
        <w:tc>
          <w:tcPr>
            <w:tcW w:type="auto" w:w="0"/>
          </w:tcPr>
          <w:p>
            <w:pPr>
              <w:spacing w:before="0" w:after="0" w:line="276" w:lineRule="auto"/>
            </w:pPr>
            <w:r>
              <w:rPr>
                <w:sz w:val="16"/>
              </w:rPr>
              <w:t>94-100</w:t>
            </w:r>
          </w:p>
        </w:tc>
        <w:tc>
          <w:tcPr>
            <w:tcW w:type="auto" w:w="0"/>
          </w:tcPr>
          <w:p>
            <w:pPr>
              <w:spacing w:before="0" w:after="0" w:line="276" w:lineRule="auto"/>
            </w:pPr>
            <w:r>
              <w:rPr>
                <w:sz w:val="16"/>
              </w:rPr>
              <w:t>90-93</w:t>
            </w:r>
          </w:p>
        </w:tc>
        <w:tc>
          <w:tcPr>
            <w:tcW w:type="auto" w:w="0"/>
          </w:tcPr>
          <w:p>
            <w:pPr>
              <w:spacing w:before="0" w:after="0" w:line="276" w:lineRule="auto"/>
            </w:pPr>
            <w:r>
              <w:rPr>
                <w:sz w:val="16"/>
              </w:rPr>
              <w:t>87-89</w:t>
            </w:r>
          </w:p>
        </w:tc>
        <w:tc>
          <w:tcPr>
            <w:tcW w:type="auto" w:w="0"/>
          </w:tcPr>
          <w:p>
            <w:pPr>
              <w:spacing w:before="0" w:after="0" w:line="276" w:lineRule="auto"/>
            </w:pPr>
            <w:r>
              <w:rPr>
                <w:sz w:val="16"/>
              </w:rPr>
              <w:t>84-86</w:t>
            </w:r>
          </w:p>
        </w:tc>
        <w:tc>
          <w:tcPr>
            <w:tcW w:type="auto" w:w="0"/>
          </w:tcPr>
          <w:p>
            <w:pPr>
              <w:spacing w:before="0" w:after="0" w:line="276" w:lineRule="auto"/>
            </w:pPr>
            <w:r>
              <w:rPr>
                <w:sz w:val="16"/>
              </w:rPr>
              <w:t>80-83</w:t>
            </w:r>
          </w:p>
        </w:tc>
        <w:tc>
          <w:tcPr>
            <w:tcW w:type="auto" w:w="0"/>
          </w:tcPr>
          <w:p>
            <w:pPr>
              <w:spacing w:before="0" w:after="0" w:line="276" w:lineRule="auto"/>
            </w:pPr>
            <w:r>
              <w:rPr>
                <w:sz w:val="16"/>
              </w:rPr>
              <w:t>77-79</w:t>
            </w:r>
          </w:p>
        </w:tc>
        <w:tc>
          <w:tcPr>
            <w:tcW w:type="auto" w:w="0"/>
          </w:tcPr>
          <w:p>
            <w:pPr>
              <w:spacing w:before="0" w:after="0" w:line="276" w:lineRule="auto"/>
            </w:pPr>
            <w:r>
              <w:rPr>
                <w:sz w:val="16"/>
              </w:rPr>
              <w:t>74-76</w:t>
            </w:r>
          </w:p>
        </w:tc>
        <w:tc>
          <w:tcPr>
            <w:tcW w:type="auto" w:w="0"/>
          </w:tcPr>
          <w:p>
            <w:pPr>
              <w:spacing w:before="0" w:after="0" w:line="276" w:lineRule="auto"/>
            </w:pPr>
            <w:r>
              <w:rPr>
                <w:sz w:val="16"/>
              </w:rPr>
              <w:t>70-73</w:t>
            </w:r>
          </w:p>
        </w:tc>
        <w:tc>
          <w:tcPr>
            <w:tcW w:type="auto" w:w="0"/>
          </w:tcPr>
          <w:p>
            <w:pPr>
              <w:spacing w:before="0" w:after="0" w:line="276" w:lineRule="auto"/>
            </w:pPr>
            <w:r>
              <w:rPr>
                <w:sz w:val="16"/>
              </w:rPr>
              <w:t>67-69</w:t>
            </w:r>
          </w:p>
        </w:tc>
        <w:tc>
          <w:tcPr>
            <w:tcW w:type="auto" w:w="0"/>
          </w:tcPr>
          <w:p>
            <w:pPr>
              <w:spacing w:before="0" w:after="0" w:line="276" w:lineRule="auto"/>
            </w:pPr>
            <w:r>
              <w:rPr>
                <w:sz w:val="16"/>
              </w:rPr>
              <w:t>64-66</w:t>
            </w:r>
          </w:p>
        </w:tc>
        <w:tc>
          <w:tcPr>
            <w:tcW w:type="auto" w:w="0"/>
          </w:tcPr>
          <w:p>
            <w:pPr>
              <w:spacing w:before="0" w:after="0" w:line="276" w:lineRule="auto"/>
            </w:pPr>
            <w:r>
              <w:rPr>
                <w:sz w:val="16"/>
              </w:rPr>
              <w:t>60-63</w:t>
            </w:r>
          </w:p>
        </w:tc>
        <w:tc>
          <w:tcPr>
            <w:tcW w:type="auto" w:w="0"/>
          </w:tcPr>
          <w:p>
            <w:pPr>
              <w:spacing w:before="0" w:after="0" w:line="276" w:lineRule="auto"/>
            </w:pPr>
            <w:r>
              <w:rPr>
                <w:sz w:val="16"/>
              </w:rPr>
              <w:t>&lt; 60</w:t>
            </w:r>
          </w:p>
        </w:tc>
      </w:tr>
    </w:tbl>
    <w:p>
      <w:pPr>
        <w:spacing w:before="0" w:after="120"/>
      </w:pPr>
      <w:r>
        <w:rPr>
          <w:b/>
          <w:sz w:val="16"/>
        </w:rPr>
        <w:t>System Used:</w:t>
      </w:r>
      <w:r>
        <w:rPr>
          <w:sz w:val="16"/>
        </w:rPr>
        <w:t xml:space="preserve"> US Grading System (60% pass threshold)</w:t>
      </w:r>
    </w:p>
    <w:p>
      <w:pPr>
        <w:pStyle w:val="Heading1"/>
        <w:keepNext/>
        <w:spacing w:before="240" w:after="120"/>
      </w:pPr>
      <w:r>
        <w:rPr>
          <w:b/>
          <w:sz w:val="16"/>
        </w:rPr>
        <w:t>COURSE CALENDAR</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615"/>
        <w:gridCol w:w="1615"/>
        <w:gridCol w:w="1615"/>
        <w:gridCol w:w="1615"/>
        <w:gridCol w:w="1615"/>
        <w:gridCol w:w="1615"/>
      </w:tblGrid>
      <w:tr>
        <w:trPr>
          <w:cantSplit/>
          <w:tblHeader/>
        </w:trPr>
        <w:tc>
          <w:tcPr>
            <w:tcW w:type="auto" w:w="0"/>
            <w:shd w:val="clear" w:color="auto" w:fill="E2E8F0"/>
          </w:tcPr>
          <w:p>
            <w:pPr>
              <w:spacing w:before="0" w:after="0" w:line="276" w:lineRule="auto"/>
            </w:pPr>
            <w:r>
              <w:rPr>
                <w:b/>
                <w:sz w:val="16"/>
              </w:rPr>
              <w:t>Week</w:t>
            </w:r>
          </w:p>
        </w:tc>
        <w:tc>
          <w:tcPr>
            <w:tcW w:type="auto" w:w="0"/>
            <w:shd w:val="clear" w:color="auto" w:fill="E2E8F0"/>
          </w:tcPr>
          <w:p>
            <w:pPr>
              <w:spacing w:before="0" w:after="0" w:line="276" w:lineRule="auto"/>
            </w:pPr>
            <w:r>
              <w:rPr>
                <w:b/>
                <w:sz w:val="16"/>
              </w:rPr>
              <w:t>Topic</w:t>
            </w:r>
          </w:p>
        </w:tc>
        <w:tc>
          <w:tcPr>
            <w:tcW w:type="auto" w:w="0"/>
            <w:shd w:val="clear" w:color="auto" w:fill="E2E8F0"/>
          </w:tcPr>
          <w:p>
            <w:pPr>
              <w:spacing w:before="0" w:after="0" w:line="276" w:lineRule="auto"/>
            </w:pPr>
            <w:r>
              <w:rPr>
                <w:b/>
                <w:sz w:val="16"/>
              </w:rPr>
              <w:t>Key Concepts</w:t>
            </w:r>
          </w:p>
        </w:tc>
        <w:tc>
          <w:tcPr>
            <w:tcW w:type="auto" w:w="0"/>
            <w:shd w:val="clear" w:color="auto" w:fill="E2E8F0"/>
          </w:tcPr>
          <w:p>
            <w:pPr>
              <w:spacing w:before="0" w:after="0" w:line="276" w:lineRule="auto"/>
            </w:pPr>
            <w:r>
              <w:rPr>
                <w:b/>
                <w:sz w:val="16"/>
              </w:rPr>
              <w:t>Foundational Frameworks</w:t>
            </w:r>
          </w:p>
        </w:tc>
        <w:tc>
          <w:tcPr>
            <w:tcW w:type="auto" w:w="0"/>
            <w:shd w:val="clear" w:color="auto" w:fill="E2E8F0"/>
          </w:tcPr>
          <w:p>
            <w:pPr>
              <w:spacing w:before="0" w:after="0" w:line="276" w:lineRule="auto"/>
            </w:pPr>
            <w:r>
              <w:rPr>
                <w:b/>
                <w:sz w:val="16"/>
              </w:rPr>
              <w:t>Required Reading</w:t>
            </w:r>
          </w:p>
        </w:tc>
        <w:tc>
          <w:tcPr>
            <w:tcW w:type="auto" w:w="0"/>
            <w:shd w:val="clear" w:color="auto" w:fill="E2E8F0"/>
          </w:tcPr>
          <w:p>
            <w:pPr>
              <w:spacing w:before="0" w:after="0" w:line="276" w:lineRule="auto"/>
            </w:pPr>
            <w:r>
              <w:rPr>
                <w:b/>
                <w:sz w:val="16"/>
              </w:rPr>
              <w:t>Assessment Due</w:t>
            </w:r>
          </w:p>
        </w:tc>
      </w:tr>
      <w:tr>
        <w:trPr>
          <w:cantSplit/>
        </w:trPr>
        <w:tc>
          <w:tcPr>
            <w:tcW w:type="auto" w:w="0"/>
          </w:tcPr>
          <w:p>
            <w:pPr>
              <w:spacing w:before="0" w:after="0" w:line="276" w:lineRule="auto"/>
            </w:pPr>
            <w:r>
              <w:rPr>
                <w:sz w:val="16"/>
              </w:rPr>
              <w:t>1</w:t>
            </w:r>
          </w:p>
        </w:tc>
        <w:tc>
          <w:tcPr>
            <w:tcW w:type="auto" w:w="0"/>
          </w:tcPr>
          <w:p>
            <w:pPr>
              <w:spacing w:before="0" w:after="0" w:line="276" w:lineRule="auto"/>
            </w:pPr>
            <w:r>
              <w:rPr>
                <w:b/>
                <w:sz w:val="16"/>
              </w:rPr>
              <w:t>Communication Strategy Foundations</w:t>
            </w:r>
            <w:r>
              <w:rPr>
                <w:sz w:val="16"/>
              </w:rPr>
              <w:t>: Building the strategic communication mindset</w:t>
            </w:r>
          </w:p>
        </w:tc>
        <w:tc>
          <w:tcPr>
            <w:tcW w:type="auto" w:w="0"/>
          </w:tcPr>
          <w:p>
            <w:pPr>
              <w:spacing w:before="0" w:after="0" w:line="276" w:lineRule="auto"/>
              <w:ind w:left="170" w:hanging="113"/>
            </w:pPr>
            <w:r>
              <w:rPr>
                <w:sz w:val="16"/>
              </w:rPr>
              <w:t xml:space="preserve">• </w:t>
            </w:r>
            <w:r>
              <w:rPr>
                <w:b/>
                <w:sz w:val="16"/>
              </w:rPr>
              <w:t>Strategic communication mindset</w:t>
            </w:r>
            <w:r>
              <w:rPr>
                <w:sz w:val="16"/>
              </w:rPr>
              <w:t>: Purposeful approach to every message</w:t>
            </w:r>
          </w:p>
          <w:p>
            <w:pPr>
              <w:spacing w:before="0" w:after="0" w:line="276" w:lineRule="auto"/>
              <w:ind w:left="170" w:hanging="113"/>
            </w:pPr>
            <w:r>
              <w:rPr>
                <w:sz w:val="16"/>
              </w:rPr>
              <w:t xml:space="preserve">• </w:t>
            </w:r>
            <w:r>
              <w:rPr>
                <w:b/>
                <w:sz w:val="16"/>
              </w:rPr>
              <w:t>Communication process models</w:t>
            </w:r>
            <w:r>
              <w:rPr>
                <w:sz w:val="16"/>
              </w:rPr>
              <w:t>: Understanding message transmission</w:t>
            </w:r>
          </w:p>
          <w:p>
            <w:pPr>
              <w:spacing w:before="0" w:after="0" w:line="276" w:lineRule="auto"/>
              <w:ind w:left="170" w:hanging="113"/>
            </w:pPr>
            <w:r>
              <w:rPr>
                <w:sz w:val="16"/>
              </w:rPr>
              <w:t xml:space="preserve">• </w:t>
            </w:r>
            <w:r>
              <w:rPr>
                <w:b/>
                <w:sz w:val="16"/>
              </w:rPr>
              <w:t>Self-assessment</w:t>
            </w:r>
            <w:r>
              <w:rPr>
                <w:sz w:val="16"/>
              </w:rPr>
              <w:t>: Identifying personal communication strengths</w:t>
            </w:r>
          </w:p>
          <w:p>
            <w:pPr>
              <w:spacing w:before="0" w:after="0" w:line="276" w:lineRule="auto"/>
              <w:ind w:left="170" w:hanging="113"/>
            </w:pPr>
            <w:r>
              <w:rPr>
                <w:sz w:val="16"/>
              </w:rPr>
              <w:t xml:space="preserve">• </w:t>
            </w:r>
            <w:r>
              <w:rPr>
                <w:b/>
                <w:sz w:val="16"/>
              </w:rPr>
              <w:t>Audience analysis frameworks</w:t>
            </w:r>
            <w:r>
              <w:rPr>
                <w:sz w:val="16"/>
              </w:rPr>
              <w:t>: Stakeholder needs identification</w:t>
            </w:r>
          </w:p>
        </w:tc>
        <w:tc>
          <w:tcPr>
            <w:tcW w:type="auto" w:w="0"/>
          </w:tcPr>
          <w:p>
            <w:pPr>
              <w:spacing w:before="0" w:after="0" w:line="276" w:lineRule="auto"/>
              <w:ind w:left="170" w:hanging="113"/>
            </w:pPr>
            <w:r>
              <w:rPr>
                <w:sz w:val="16"/>
              </w:rPr>
              <w:t xml:space="preserve">• </w:t>
            </w:r>
            <w:r>
              <w:rPr>
                <w:sz w:val="16"/>
              </w:rPr>
              <w:t>Shannon-Weaver Model (1949)</w:t>
            </w:r>
          </w:p>
          <w:p>
            <w:pPr>
              <w:spacing w:before="0" w:after="0" w:line="276" w:lineRule="auto"/>
              <w:ind w:left="170" w:hanging="113"/>
            </w:pPr>
            <w:r>
              <w:rPr>
                <w:sz w:val="16"/>
              </w:rPr>
              <w:t xml:space="preserve">• </w:t>
            </w:r>
            <w:r>
              <w:rPr>
                <w:sz w:val="16"/>
              </w:rPr>
              <w:t>Communication Competence Theory (Spitzberg &amp; Cupach, 1984)</w:t>
            </w:r>
          </w:p>
        </w:tc>
        <w:tc>
          <w:tcPr>
            <w:tcW w:type="auto" w:w="0"/>
          </w:tcPr>
          <w:p>
            <w:pPr>
              <w:spacing w:before="0" w:after="0" w:line="276" w:lineRule="auto"/>
              <w:ind w:left="170" w:hanging="113"/>
            </w:pPr>
            <w:r>
              <w:rPr>
                <w:sz w:val="16"/>
              </w:rPr>
              <w:t xml:space="preserve">• </w:t>
            </w:r>
            <w:r>
              <w:rPr>
                <w:sz w:val="16"/>
              </w:rPr>
              <w:t xml:space="preserve">Spitzberg, B. H. (2013). (Re)Introducing communication competence to the health professions. </w:t>
            </w:r>
            <w:r>
              <w:rPr>
                <w:i/>
                <w:sz w:val="16"/>
              </w:rPr>
              <w:t>Journal of Public Health Research</w:t>
            </w:r>
            <w:r>
              <w:rPr>
                <w:sz w:val="16"/>
              </w:rPr>
              <w:t xml:space="preserve">, </w:t>
            </w:r>
            <w:r>
              <w:rPr>
                <w:i/>
                <w:sz w:val="16"/>
              </w:rPr>
              <w:t>2</w:t>
            </w:r>
            <w:r>
              <w:rPr>
                <w:sz w:val="16"/>
              </w:rPr>
              <w:t>(3), e23.</w:t>
            </w:r>
          </w:p>
          <w:p>
            <w:pPr>
              <w:spacing w:before="0" w:after="0" w:line="276" w:lineRule="auto"/>
              <w:ind w:left="170" w:hanging="113"/>
            </w:pPr>
            <w:r>
              <w:rPr>
                <w:sz w:val="16"/>
              </w:rPr>
              <w:t xml:space="preserve">• </w:t>
            </w:r>
            <w:r>
              <w:rPr>
                <w:sz w:val="16"/>
              </w:rPr>
              <w:t xml:space="preserve">Hallenbeck, G., &amp; Childs, P. (2022). To win over an audience, focus on building trust. </w:t>
            </w:r>
            <w:r>
              <w:rPr>
                <w:i/>
                <w:sz w:val="16"/>
              </w:rPr>
              <w:t>Harvard Business Review</w:t>
            </w:r>
            <w:r>
              <w:rPr>
                <w:sz w:val="16"/>
              </w:rPr>
              <w:t>.</w:t>
            </w:r>
          </w:p>
        </w:tc>
        <w:tc>
          <w:tcPr>
            <w:tcW w:type="auto" w:w="0"/>
          </w:tcPr>
          <w:p/>
        </w:tc>
      </w:tr>
      <w:tr>
        <w:trPr>
          <w:cantSplit/>
        </w:trPr>
        <w:tc>
          <w:tcPr>
            <w:tcW w:type="auto" w:w="0"/>
          </w:tcPr>
          <w:p>
            <w:pPr>
              <w:spacing w:before="0" w:after="0" w:line="276" w:lineRule="auto"/>
            </w:pPr>
            <w:r>
              <w:rPr>
                <w:sz w:val="16"/>
              </w:rPr>
              <w:t>2</w:t>
            </w:r>
          </w:p>
        </w:tc>
        <w:tc>
          <w:tcPr>
            <w:tcW w:type="auto" w:w="0"/>
          </w:tcPr>
          <w:p>
            <w:pPr>
              <w:spacing w:before="0" w:after="0" w:line="276" w:lineRule="auto"/>
            </w:pPr>
            <w:r>
              <w:rPr>
                <w:b/>
                <w:sz w:val="16"/>
              </w:rPr>
              <w:t>Audience Analysis &amp; Stakeholder Mapping</w:t>
            </w:r>
            <w:r>
              <w:rPr>
                <w:sz w:val="16"/>
              </w:rPr>
              <w:t>: Adapting messages for maximum impact</w:t>
            </w:r>
          </w:p>
        </w:tc>
        <w:tc>
          <w:tcPr>
            <w:tcW w:type="auto" w:w="0"/>
          </w:tcPr>
          <w:p>
            <w:pPr>
              <w:spacing w:before="0" w:after="0" w:line="276" w:lineRule="auto"/>
              <w:ind w:left="170" w:hanging="113"/>
            </w:pPr>
            <w:r>
              <w:rPr>
                <w:sz w:val="16"/>
              </w:rPr>
              <w:t xml:space="preserve">• </w:t>
            </w:r>
            <w:r>
              <w:rPr>
                <w:b/>
                <w:sz w:val="16"/>
              </w:rPr>
              <w:t>Stakeholder identification</w:t>
            </w:r>
            <w:r>
              <w:rPr>
                <w:sz w:val="16"/>
              </w:rPr>
              <w:t>: Mapping key communication partners</w:t>
            </w:r>
          </w:p>
          <w:p>
            <w:pPr>
              <w:spacing w:before="0" w:after="0" w:line="276" w:lineRule="auto"/>
              <w:ind w:left="170" w:hanging="113"/>
            </w:pPr>
            <w:r>
              <w:rPr>
                <w:sz w:val="16"/>
              </w:rPr>
              <w:t xml:space="preserve">• </w:t>
            </w:r>
            <w:r>
              <w:rPr>
                <w:b/>
                <w:sz w:val="16"/>
              </w:rPr>
              <w:t>Audience needs analysis</w:t>
            </w:r>
            <w:r>
              <w:rPr>
                <w:sz w:val="16"/>
              </w:rPr>
              <w:t>: Understanding what audiences require</w:t>
            </w:r>
          </w:p>
          <w:p>
            <w:pPr>
              <w:spacing w:before="0" w:after="0" w:line="276" w:lineRule="auto"/>
              <w:ind w:left="170" w:hanging="113"/>
            </w:pPr>
            <w:r>
              <w:rPr>
                <w:sz w:val="16"/>
              </w:rPr>
              <w:t xml:space="preserve">• </w:t>
            </w:r>
            <w:r>
              <w:rPr>
                <w:b/>
                <w:sz w:val="16"/>
              </w:rPr>
              <w:t>Message adaptation</w:t>
            </w:r>
            <w:r>
              <w:rPr>
                <w:sz w:val="16"/>
              </w:rPr>
              <w:t>: Tailoring content for different receivers</w:t>
            </w:r>
          </w:p>
          <w:p>
            <w:pPr>
              <w:spacing w:before="0" w:after="0" w:line="276" w:lineRule="auto"/>
              <w:ind w:left="170" w:hanging="113"/>
            </w:pPr>
            <w:r>
              <w:rPr>
                <w:sz w:val="16"/>
              </w:rPr>
              <w:t xml:space="preserve">• </w:t>
            </w:r>
            <w:r>
              <w:rPr>
                <w:b/>
                <w:sz w:val="16"/>
              </w:rPr>
              <w:t>Cultural context awareness</w:t>
            </w:r>
            <w:r>
              <w:rPr>
                <w:sz w:val="16"/>
              </w:rPr>
              <w:t>: Recognizing diverse perspectives</w:t>
            </w:r>
          </w:p>
        </w:tc>
        <w:tc>
          <w:tcPr>
            <w:tcW w:type="auto" w:w="0"/>
          </w:tcPr>
          <w:p>
            <w:pPr>
              <w:spacing w:before="0" w:after="0" w:line="276" w:lineRule="auto"/>
              <w:ind w:left="170" w:hanging="113"/>
            </w:pPr>
            <w:r>
              <w:rPr>
                <w:sz w:val="16"/>
              </w:rPr>
              <w:t xml:space="preserve">• </w:t>
            </w:r>
            <w:r>
              <w:rPr>
                <w:sz w:val="16"/>
              </w:rPr>
              <w:t>Munter Strategic Communication Framework</w:t>
            </w:r>
          </w:p>
          <w:p>
            <w:pPr>
              <w:spacing w:before="0" w:after="0" w:line="276" w:lineRule="auto"/>
              <w:ind w:left="170" w:hanging="113"/>
            </w:pPr>
            <w:r>
              <w:rPr>
                <w:sz w:val="16"/>
              </w:rPr>
              <w:t xml:space="preserve">• </w:t>
            </w:r>
            <w:r>
              <w:rPr>
                <w:sz w:val="16"/>
              </w:rPr>
              <w:t>Stakeholder Mapping Matrix</w:t>
            </w:r>
          </w:p>
        </w:tc>
        <w:tc>
          <w:tcPr>
            <w:tcW w:type="auto" w:w="0"/>
          </w:tcPr>
          <w:p>
            <w:pPr>
              <w:spacing w:before="0" w:after="0" w:line="276" w:lineRule="auto"/>
              <w:ind w:left="170" w:hanging="113"/>
            </w:pPr>
            <w:r>
              <w:rPr>
                <w:sz w:val="16"/>
              </w:rPr>
              <w:t xml:space="preserve">• </w:t>
            </w:r>
            <w:r>
              <w:rPr>
                <w:sz w:val="16"/>
              </w:rPr>
              <w:t xml:space="preserve">Munter, M. (2012). </w:t>
            </w:r>
            <w:r>
              <w:rPr>
                <w:i/>
                <w:sz w:val="16"/>
              </w:rPr>
              <w:t>Guide to Managerial Communication</w:t>
            </w:r>
            <w:r>
              <w:rPr>
                <w:sz w:val="16"/>
              </w:rPr>
              <w:t xml:space="preserve"> (10th ed., Ch. 1-2). Pearson.</w:t>
            </w:r>
          </w:p>
          <w:p>
            <w:pPr>
              <w:spacing w:before="0" w:after="0" w:line="276" w:lineRule="auto"/>
              <w:ind w:left="170" w:hanging="113"/>
            </w:pPr>
            <w:r>
              <w:rPr>
                <w:sz w:val="16"/>
              </w:rPr>
              <w:t xml:space="preserve">• </w:t>
            </w:r>
            <w:r>
              <w:rPr>
                <w:sz w:val="16"/>
              </w:rPr>
              <w:t xml:space="preserve">Freeman, R. E. (2010). </w:t>
            </w:r>
            <w:r>
              <w:rPr>
                <w:i/>
                <w:sz w:val="16"/>
              </w:rPr>
              <w:t>Strategic Management: A Stakeholder Approach</w:t>
            </w:r>
            <w:r>
              <w:rPr>
                <w:sz w:val="16"/>
              </w:rPr>
              <w:t>. Cambridge University Press.</w:t>
            </w:r>
          </w:p>
        </w:tc>
        <w:tc>
          <w:tcPr>
            <w:tcW w:type="auto" w:w="0"/>
          </w:tcPr>
          <w:p/>
        </w:tc>
      </w:tr>
      <w:tr>
        <w:trPr>
          <w:cantSplit/>
        </w:trPr>
        <w:tc>
          <w:tcPr>
            <w:tcW w:type="auto" w:w="0"/>
          </w:tcPr>
          <w:p>
            <w:pPr>
              <w:spacing w:before="0" w:after="0" w:line="276" w:lineRule="auto"/>
            </w:pPr>
            <w:r>
              <w:rPr>
                <w:sz w:val="16"/>
              </w:rPr>
              <w:t>3</w:t>
            </w:r>
          </w:p>
        </w:tc>
        <w:tc>
          <w:tcPr>
            <w:tcW w:type="auto" w:w="0"/>
          </w:tcPr>
          <w:p>
            <w:pPr>
              <w:spacing w:before="0" w:after="0" w:line="276" w:lineRule="auto"/>
            </w:pPr>
            <w:r>
              <w:rPr>
                <w:b/>
                <w:sz w:val="16"/>
              </w:rPr>
              <w:t>Structured Business Writing</w:t>
            </w:r>
            <w:r>
              <w:rPr>
                <w:sz w:val="16"/>
              </w:rPr>
              <w:t>: Achieving clarity through organization</w:t>
            </w:r>
          </w:p>
        </w:tc>
        <w:tc>
          <w:tcPr>
            <w:tcW w:type="auto" w:w="0"/>
          </w:tcPr>
          <w:p>
            <w:pPr>
              <w:spacing w:before="0" w:after="0" w:line="276" w:lineRule="auto"/>
              <w:ind w:left="170" w:hanging="113"/>
            </w:pPr>
            <w:r>
              <w:rPr>
                <w:sz w:val="16"/>
              </w:rPr>
              <w:t xml:space="preserve">• </w:t>
            </w:r>
            <w:r>
              <w:rPr>
                <w:b/>
                <w:sz w:val="16"/>
              </w:rPr>
              <w:t>Pyramid Principle</w:t>
            </w:r>
            <w:r>
              <w:rPr>
                <w:sz w:val="16"/>
              </w:rPr>
              <w:t>: Top-down communication structure</w:t>
            </w:r>
          </w:p>
          <w:p>
            <w:pPr>
              <w:spacing w:before="0" w:after="0" w:line="276" w:lineRule="auto"/>
              <w:ind w:left="170" w:hanging="113"/>
            </w:pPr>
            <w:r>
              <w:rPr>
                <w:sz w:val="16"/>
              </w:rPr>
              <w:t xml:space="preserve">• </w:t>
            </w:r>
            <w:r>
              <w:rPr>
                <w:b/>
                <w:sz w:val="16"/>
              </w:rPr>
              <w:t>SCQA framework</w:t>
            </w:r>
            <w:r>
              <w:rPr>
                <w:sz w:val="16"/>
              </w:rPr>
              <w:t>: Situation-Complication-Question-Answer</w:t>
            </w:r>
          </w:p>
          <w:p>
            <w:pPr>
              <w:spacing w:before="0" w:after="0" w:line="276" w:lineRule="auto"/>
              <w:ind w:left="170" w:hanging="113"/>
            </w:pPr>
            <w:r>
              <w:rPr>
                <w:sz w:val="16"/>
              </w:rPr>
              <w:t xml:space="preserve">• </w:t>
            </w:r>
            <w:r>
              <w:rPr>
                <w:b/>
                <w:sz w:val="16"/>
              </w:rPr>
              <w:t>Executive summary format</w:t>
            </w:r>
            <w:r>
              <w:rPr>
                <w:sz w:val="16"/>
              </w:rPr>
              <w:t>: Leading with conclusions</w:t>
            </w:r>
          </w:p>
          <w:p>
            <w:pPr>
              <w:spacing w:before="0" w:after="0" w:line="276" w:lineRule="auto"/>
              <w:ind w:left="170" w:hanging="113"/>
            </w:pPr>
            <w:r>
              <w:rPr>
                <w:sz w:val="16"/>
              </w:rPr>
              <w:t xml:space="preserve">• </w:t>
            </w:r>
            <w:r>
              <w:rPr>
                <w:b/>
                <w:sz w:val="16"/>
              </w:rPr>
              <w:t>Clarity and concision</w:t>
            </w:r>
            <w:r>
              <w:rPr>
                <w:sz w:val="16"/>
              </w:rPr>
              <w:t>: Eliminating unnecessary words</w:t>
            </w:r>
          </w:p>
        </w:tc>
        <w:tc>
          <w:tcPr>
            <w:tcW w:type="auto" w:w="0"/>
          </w:tcPr>
          <w:p>
            <w:pPr>
              <w:spacing w:before="0" w:after="0" w:line="276" w:lineRule="auto"/>
              <w:ind w:left="170" w:hanging="113"/>
            </w:pPr>
            <w:r>
              <w:rPr>
                <w:sz w:val="16"/>
              </w:rPr>
              <w:t xml:space="preserve">• </w:t>
            </w:r>
            <w:r>
              <w:rPr>
                <w:sz w:val="16"/>
              </w:rPr>
              <w:t>Pyramid Principle (Minto, 1987)</w:t>
            </w:r>
          </w:p>
          <w:p>
            <w:pPr>
              <w:spacing w:before="0" w:after="0" w:line="276" w:lineRule="auto"/>
              <w:ind w:left="170" w:hanging="113"/>
            </w:pPr>
            <w:r>
              <w:rPr>
                <w:sz w:val="16"/>
              </w:rPr>
              <w:t xml:space="preserve">• </w:t>
            </w:r>
            <w:r>
              <w:rPr>
                <w:sz w:val="16"/>
              </w:rPr>
              <w:t>SCQA Framework</w:t>
            </w:r>
          </w:p>
        </w:tc>
        <w:tc>
          <w:tcPr>
            <w:tcW w:type="auto" w:w="0"/>
          </w:tcPr>
          <w:p>
            <w:pPr>
              <w:spacing w:before="0" w:after="0" w:line="276" w:lineRule="auto"/>
              <w:ind w:left="170" w:hanging="113"/>
            </w:pPr>
            <w:r>
              <w:rPr>
                <w:sz w:val="16"/>
              </w:rPr>
              <w:t xml:space="preserve">• </w:t>
            </w:r>
            <w:r>
              <w:rPr>
                <w:sz w:val="16"/>
              </w:rPr>
              <w:t xml:space="preserve">Minto, B. (2010). </w:t>
            </w:r>
            <w:r>
              <w:rPr>
                <w:i/>
                <w:sz w:val="16"/>
              </w:rPr>
              <w:t>The Pyramid Principle: Logic in Writing and Thinking</w:t>
            </w:r>
            <w:r>
              <w:rPr>
                <w:sz w:val="16"/>
              </w:rPr>
              <w:t xml:space="preserve"> (3rd ed., Ch. 1-3). Pearson.</w:t>
            </w:r>
          </w:p>
          <w:p>
            <w:pPr>
              <w:spacing w:before="0" w:after="0" w:line="276" w:lineRule="auto"/>
              <w:ind w:left="170" w:hanging="113"/>
            </w:pPr>
            <w:r>
              <w:rPr>
                <w:sz w:val="16"/>
              </w:rPr>
              <w:t xml:space="preserve">• </w:t>
            </w:r>
            <w:r>
              <w:rPr>
                <w:sz w:val="16"/>
              </w:rPr>
              <w:t xml:space="preserve">Strunk, W., &amp; White, E. B. (2000). </w:t>
            </w:r>
            <w:r>
              <w:rPr>
                <w:i/>
                <w:sz w:val="16"/>
              </w:rPr>
              <w:t>The Elements of Style</w:t>
            </w:r>
            <w:r>
              <w:rPr>
                <w:sz w:val="16"/>
              </w:rPr>
              <w:t xml:space="preserve"> (4th ed.). Longman.</w:t>
            </w:r>
          </w:p>
        </w:tc>
        <w:tc>
          <w:tcPr>
            <w:tcW w:type="auto" w:w="0"/>
          </w:tcPr>
          <w:p/>
        </w:tc>
      </w:tr>
      <w:tr>
        <w:trPr>
          <w:cantSplit/>
        </w:trPr>
        <w:tc>
          <w:tcPr>
            <w:tcW w:type="auto" w:w="0"/>
          </w:tcPr>
          <w:p>
            <w:pPr>
              <w:spacing w:before="0" w:after="0" w:line="276" w:lineRule="auto"/>
            </w:pPr>
            <w:r>
              <w:rPr>
                <w:sz w:val="16"/>
              </w:rPr>
              <w:t>4</w:t>
            </w:r>
          </w:p>
        </w:tc>
        <w:tc>
          <w:tcPr>
            <w:tcW w:type="auto" w:w="0"/>
          </w:tcPr>
          <w:p>
            <w:pPr>
              <w:spacing w:before="0" w:after="0" w:line="276" w:lineRule="auto"/>
            </w:pPr>
            <w:r>
              <w:rPr>
                <w:b/>
                <w:sz w:val="16"/>
              </w:rPr>
              <w:t>Persuasive Written Communication</w:t>
            </w:r>
            <w:r>
              <w:rPr>
                <w:sz w:val="16"/>
              </w:rPr>
              <w:t>: Moving audiences to action</w:t>
            </w:r>
          </w:p>
        </w:tc>
        <w:tc>
          <w:tcPr>
            <w:tcW w:type="auto" w:w="0"/>
          </w:tcPr>
          <w:p>
            <w:pPr>
              <w:spacing w:before="0" w:after="0" w:line="276" w:lineRule="auto"/>
              <w:ind w:left="170" w:hanging="113"/>
            </w:pPr>
            <w:r>
              <w:rPr>
                <w:sz w:val="16"/>
              </w:rPr>
              <w:t xml:space="preserve">• </w:t>
            </w:r>
            <w:r>
              <w:rPr>
                <w:b/>
                <w:sz w:val="16"/>
              </w:rPr>
              <w:t>Persuasive memo structure</w:t>
            </w:r>
            <w:r>
              <w:rPr>
                <w:sz w:val="16"/>
              </w:rPr>
              <w:t>: Building compelling arguments</w:t>
            </w:r>
          </w:p>
          <w:p>
            <w:pPr>
              <w:spacing w:before="0" w:after="0" w:line="276" w:lineRule="auto"/>
              <w:ind w:left="170" w:hanging="113"/>
            </w:pPr>
            <w:r>
              <w:rPr>
                <w:sz w:val="16"/>
              </w:rPr>
              <w:t xml:space="preserve">• </w:t>
            </w:r>
            <w:r>
              <w:rPr>
                <w:b/>
                <w:sz w:val="16"/>
              </w:rPr>
              <w:t>Evidence and argumentation</w:t>
            </w:r>
            <w:r>
              <w:rPr>
                <w:sz w:val="16"/>
              </w:rPr>
              <w:t>: Supporting claims effectively</w:t>
            </w:r>
          </w:p>
          <w:p>
            <w:pPr>
              <w:spacing w:before="0" w:after="0" w:line="276" w:lineRule="auto"/>
              <w:ind w:left="170" w:hanging="113"/>
            </w:pPr>
            <w:r>
              <w:rPr>
                <w:sz w:val="16"/>
              </w:rPr>
              <w:t xml:space="preserve">• </w:t>
            </w:r>
            <w:r>
              <w:rPr>
                <w:b/>
                <w:sz w:val="16"/>
              </w:rPr>
              <w:t>Tone and style</w:t>
            </w:r>
            <w:r>
              <w:rPr>
                <w:sz w:val="16"/>
              </w:rPr>
              <w:t>: Matching voice to purpose</w:t>
            </w:r>
          </w:p>
          <w:p>
            <w:pPr>
              <w:spacing w:before="0" w:after="0" w:line="276" w:lineRule="auto"/>
              <w:ind w:left="170" w:hanging="113"/>
            </w:pPr>
            <w:r>
              <w:rPr>
                <w:sz w:val="16"/>
              </w:rPr>
              <w:t xml:space="preserve">• </w:t>
            </w:r>
            <w:r>
              <w:rPr>
                <w:b/>
                <w:sz w:val="16"/>
              </w:rPr>
              <w:t>Revision strategies</w:t>
            </w:r>
            <w:r>
              <w:rPr>
                <w:sz w:val="16"/>
              </w:rPr>
              <w:t>: Refining for impact</w:t>
            </w:r>
          </w:p>
        </w:tc>
        <w:tc>
          <w:tcPr>
            <w:tcW w:type="auto" w:w="0"/>
          </w:tcPr>
          <w:p>
            <w:pPr>
              <w:spacing w:before="0" w:after="0" w:line="276" w:lineRule="auto"/>
              <w:ind w:left="170" w:hanging="113"/>
            </w:pPr>
            <w:r>
              <w:rPr>
                <w:sz w:val="16"/>
              </w:rPr>
              <w:t xml:space="preserve">• </w:t>
            </w:r>
            <w:r>
              <w:rPr>
                <w:sz w:val="16"/>
              </w:rPr>
              <w:t>Rhetorical Appeals (Aristotle)</w:t>
            </w:r>
          </w:p>
          <w:p>
            <w:pPr>
              <w:spacing w:before="0" w:after="0" w:line="276" w:lineRule="auto"/>
              <w:ind w:left="170" w:hanging="113"/>
            </w:pPr>
            <w:r>
              <w:rPr>
                <w:sz w:val="16"/>
              </w:rPr>
              <w:t xml:space="preserve">• </w:t>
            </w:r>
            <w:r>
              <w:rPr>
                <w:sz w:val="16"/>
              </w:rPr>
              <w:t>Problem-Solution-Benefit Structure</w:t>
            </w:r>
          </w:p>
        </w:tc>
        <w:tc>
          <w:tcPr>
            <w:tcW w:type="auto" w:w="0"/>
          </w:tcPr>
          <w:p>
            <w:pPr>
              <w:spacing w:before="0" w:after="0" w:line="276" w:lineRule="auto"/>
              <w:ind w:left="170" w:hanging="113"/>
            </w:pPr>
            <w:r>
              <w:rPr>
                <w:sz w:val="16"/>
              </w:rPr>
              <w:t xml:space="preserve">• </w:t>
            </w:r>
            <w:r>
              <w:rPr>
                <w:sz w:val="16"/>
              </w:rPr>
              <w:t xml:space="preserve">Cialdini, R. B. (2001). Harnessing the science of persuasion. </w:t>
            </w:r>
            <w:r>
              <w:rPr>
                <w:i/>
                <w:sz w:val="16"/>
              </w:rPr>
              <w:t>Harvard Business Review</w:t>
            </w:r>
            <w:r>
              <w:rPr>
                <w:sz w:val="16"/>
              </w:rPr>
              <w:t xml:space="preserve">, </w:t>
            </w:r>
            <w:r>
              <w:rPr>
                <w:i/>
                <w:sz w:val="16"/>
              </w:rPr>
              <w:t>79</w:t>
            </w:r>
            <w:r>
              <w:rPr>
                <w:sz w:val="16"/>
              </w:rPr>
              <w:t>(9), 72-79.</w:t>
            </w:r>
          </w:p>
          <w:p>
            <w:pPr>
              <w:spacing w:before="0" w:after="0" w:line="276" w:lineRule="auto"/>
              <w:ind w:left="170" w:hanging="113"/>
            </w:pPr>
            <w:r>
              <w:rPr>
                <w:sz w:val="16"/>
              </w:rPr>
              <w:t xml:space="preserve">• </w:t>
            </w:r>
            <w:r>
              <w:rPr>
                <w:sz w:val="16"/>
              </w:rPr>
              <w:t xml:space="preserve">Booth, W. C., et al. (2016). </w:t>
            </w:r>
            <w:r>
              <w:rPr>
                <w:i/>
                <w:sz w:val="16"/>
              </w:rPr>
              <w:t>The Craft of Research</w:t>
            </w:r>
            <w:r>
              <w:rPr>
                <w:sz w:val="16"/>
              </w:rPr>
              <w:t xml:space="preserve"> (4th ed., Ch. 7-9). University of Chicago Press.</w:t>
            </w:r>
          </w:p>
        </w:tc>
        <w:tc>
          <w:tcPr>
            <w:tcW w:type="auto" w:w="0"/>
          </w:tcPr>
          <w:p>
            <w:pPr>
              <w:spacing w:before="0" w:after="0" w:line="276" w:lineRule="auto"/>
            </w:pPr>
            <w:r>
              <w:rPr>
                <w:sz w:val="16"/>
              </w:rPr>
              <w:t>Business Memo (10%)</w:t>
            </w:r>
          </w:p>
        </w:tc>
      </w:tr>
      <w:tr>
        <w:trPr>
          <w:cantSplit/>
        </w:trPr>
        <w:tc>
          <w:tcPr>
            <w:tcW w:type="auto" w:w="0"/>
          </w:tcPr>
          <w:p>
            <w:pPr>
              <w:spacing w:before="0" w:after="0" w:line="276" w:lineRule="auto"/>
            </w:pPr>
            <w:r>
              <w:rPr>
                <w:sz w:val="16"/>
              </w:rPr>
              <w:t>5</w:t>
            </w:r>
          </w:p>
        </w:tc>
        <w:tc>
          <w:tcPr>
            <w:tcW w:type="auto" w:w="0"/>
          </w:tcPr>
          <w:p>
            <w:pPr>
              <w:spacing w:before="0" w:after="0" w:line="276" w:lineRule="auto"/>
            </w:pPr>
            <w:r>
              <w:rPr>
                <w:b/>
                <w:sz w:val="16"/>
              </w:rPr>
              <w:t>Oral Communication Fundamentals</w:t>
            </w:r>
            <w:r>
              <w:rPr>
                <w:sz w:val="16"/>
              </w:rPr>
              <w:t>: Building presentation confidence</w:t>
            </w:r>
          </w:p>
        </w:tc>
        <w:tc>
          <w:tcPr>
            <w:tcW w:type="auto" w:w="0"/>
          </w:tcPr>
          <w:p>
            <w:pPr>
              <w:spacing w:before="0" w:after="0" w:line="276" w:lineRule="auto"/>
              <w:ind w:left="170" w:hanging="113"/>
            </w:pPr>
            <w:r>
              <w:rPr>
                <w:sz w:val="16"/>
              </w:rPr>
              <w:t xml:space="preserve">• </w:t>
            </w:r>
            <w:r>
              <w:rPr>
                <w:b/>
                <w:sz w:val="16"/>
              </w:rPr>
              <w:t>Presentation structure</w:t>
            </w:r>
            <w:r>
              <w:rPr>
                <w:sz w:val="16"/>
              </w:rPr>
              <w:t>: Opening, body, conclusion</w:t>
            </w:r>
          </w:p>
          <w:p>
            <w:pPr>
              <w:spacing w:before="0" w:after="0" w:line="276" w:lineRule="auto"/>
              <w:ind w:left="170" w:hanging="113"/>
            </w:pPr>
            <w:r>
              <w:rPr>
                <w:sz w:val="16"/>
              </w:rPr>
              <w:t xml:space="preserve">• </w:t>
            </w:r>
            <w:r>
              <w:rPr>
                <w:b/>
                <w:sz w:val="16"/>
              </w:rPr>
              <w:t>Delivery basics</w:t>
            </w:r>
            <w:r>
              <w:rPr>
                <w:sz w:val="16"/>
              </w:rPr>
              <w:t>: Voice, pace, eye contact</w:t>
            </w:r>
          </w:p>
          <w:p>
            <w:pPr>
              <w:spacing w:before="0" w:after="0" w:line="276" w:lineRule="auto"/>
              <w:ind w:left="170" w:hanging="113"/>
            </w:pPr>
            <w:r>
              <w:rPr>
                <w:sz w:val="16"/>
              </w:rPr>
              <w:t xml:space="preserve">• </w:t>
            </w:r>
            <w:r>
              <w:rPr>
                <w:b/>
                <w:sz w:val="16"/>
              </w:rPr>
              <w:t>Managing anxiety</w:t>
            </w:r>
            <w:r>
              <w:rPr>
                <w:sz w:val="16"/>
              </w:rPr>
              <w:t>: Techniques for nervousness reduction</w:t>
            </w:r>
          </w:p>
          <w:p>
            <w:pPr>
              <w:spacing w:before="0" w:after="0" w:line="276" w:lineRule="auto"/>
              <w:ind w:left="170" w:hanging="113"/>
            </w:pPr>
            <w:r>
              <w:rPr>
                <w:sz w:val="16"/>
              </w:rPr>
              <w:t xml:space="preserve">• </w:t>
            </w:r>
            <w:r>
              <w:rPr>
                <w:b/>
                <w:sz w:val="16"/>
              </w:rPr>
              <w:t>Authenticity</w:t>
            </w:r>
            <w:r>
              <w:rPr>
                <w:sz w:val="16"/>
              </w:rPr>
              <w:t>: Finding your genuine voice</w:t>
            </w:r>
          </w:p>
        </w:tc>
        <w:tc>
          <w:tcPr>
            <w:tcW w:type="auto" w:w="0"/>
          </w:tcPr>
          <w:p>
            <w:pPr>
              <w:spacing w:before="0" w:after="0" w:line="276" w:lineRule="auto"/>
              <w:ind w:left="170" w:hanging="113"/>
            </w:pPr>
            <w:r>
              <w:rPr>
                <w:sz w:val="16"/>
              </w:rPr>
              <w:t xml:space="preserve">• </w:t>
            </w:r>
            <w:r>
              <w:rPr>
                <w:sz w:val="16"/>
              </w:rPr>
              <w:t>Communication Apprehension Theory (McCroskey, 1977)</w:t>
            </w:r>
          </w:p>
          <w:p>
            <w:pPr>
              <w:spacing w:before="0" w:after="0" w:line="276" w:lineRule="auto"/>
              <w:ind w:left="170" w:hanging="113"/>
            </w:pPr>
            <w:r>
              <w:rPr>
                <w:sz w:val="16"/>
              </w:rPr>
              <w:t xml:space="preserve">• </w:t>
            </w:r>
            <w:r>
              <w:rPr>
                <w:sz w:val="16"/>
              </w:rPr>
              <w:t>Presentation Anxiety Management</w:t>
            </w:r>
          </w:p>
        </w:tc>
        <w:tc>
          <w:tcPr>
            <w:tcW w:type="auto" w:w="0"/>
          </w:tcPr>
          <w:p>
            <w:pPr>
              <w:spacing w:before="0" w:after="0" w:line="276" w:lineRule="auto"/>
              <w:ind w:left="170" w:hanging="113"/>
            </w:pPr>
            <w:r>
              <w:rPr>
                <w:sz w:val="16"/>
              </w:rPr>
              <w:t xml:space="preserve">• </w:t>
            </w:r>
            <w:r>
              <w:rPr>
                <w:sz w:val="16"/>
              </w:rPr>
              <w:t xml:space="preserve">McCroskey, J. C. (1977). Oral communication apprehension: A summary of recent theory and research. </w:t>
            </w:r>
            <w:r>
              <w:rPr>
                <w:i/>
                <w:sz w:val="16"/>
              </w:rPr>
              <w:t>Human Communication Research</w:t>
            </w:r>
            <w:r>
              <w:rPr>
                <w:sz w:val="16"/>
              </w:rPr>
              <w:t xml:space="preserve">, </w:t>
            </w:r>
            <w:r>
              <w:rPr>
                <w:i/>
                <w:sz w:val="16"/>
              </w:rPr>
              <w:t>4</w:t>
            </w:r>
            <w:r>
              <w:rPr>
                <w:sz w:val="16"/>
              </w:rPr>
              <w:t>(1), 78-96.</w:t>
            </w:r>
          </w:p>
          <w:p>
            <w:pPr>
              <w:spacing w:before="0" w:after="0" w:line="276" w:lineRule="auto"/>
              <w:ind w:left="170" w:hanging="113"/>
            </w:pPr>
            <w:r>
              <w:rPr>
                <w:sz w:val="16"/>
              </w:rPr>
              <w:t xml:space="preserve">• </w:t>
            </w:r>
            <w:r>
              <w:rPr>
                <w:sz w:val="16"/>
              </w:rPr>
              <w:t xml:space="preserve">Anderson, C. (2016). </w:t>
            </w:r>
            <w:r>
              <w:rPr>
                <w:i/>
                <w:sz w:val="16"/>
              </w:rPr>
              <w:t>TED Talks: The Official TED Guide to Public Speaking</w:t>
            </w:r>
            <w:r>
              <w:rPr>
                <w:sz w:val="16"/>
              </w:rPr>
              <w:t xml:space="preserve"> (Ch. 1-4). Houghton Mifflin.</w:t>
            </w:r>
          </w:p>
        </w:tc>
        <w:tc>
          <w:tcPr>
            <w:tcW w:type="auto" w:w="0"/>
          </w:tcPr>
          <w:p/>
        </w:tc>
      </w:tr>
      <w:tr>
        <w:trPr>
          <w:cantSplit/>
        </w:trPr>
        <w:tc>
          <w:tcPr>
            <w:tcW w:type="auto" w:w="0"/>
          </w:tcPr>
          <w:p>
            <w:pPr>
              <w:spacing w:before="0" w:after="0" w:line="276" w:lineRule="auto"/>
            </w:pPr>
            <w:r>
              <w:rPr>
                <w:sz w:val="16"/>
              </w:rPr>
              <w:t>6</w:t>
            </w:r>
          </w:p>
        </w:tc>
        <w:tc>
          <w:tcPr>
            <w:tcW w:type="auto" w:w="0"/>
          </w:tcPr>
          <w:p>
            <w:pPr>
              <w:spacing w:before="0" w:after="0" w:line="276" w:lineRule="auto"/>
            </w:pPr>
            <w:r>
              <w:rPr>
                <w:b/>
                <w:sz w:val="16"/>
              </w:rPr>
              <w:t>Visual Communication &amp; Slide Design</w:t>
            </w:r>
            <w:r>
              <w:rPr>
                <w:sz w:val="16"/>
              </w:rPr>
              <w:t>: Enhancing message clarity</w:t>
            </w:r>
          </w:p>
        </w:tc>
        <w:tc>
          <w:tcPr>
            <w:tcW w:type="auto" w:w="0"/>
          </w:tcPr>
          <w:p>
            <w:pPr>
              <w:spacing w:before="0" w:after="0" w:line="276" w:lineRule="auto"/>
              <w:ind w:left="170" w:hanging="113"/>
            </w:pPr>
            <w:r>
              <w:rPr>
                <w:sz w:val="16"/>
              </w:rPr>
              <w:t xml:space="preserve">• </w:t>
            </w:r>
            <w:r>
              <w:rPr>
                <w:b/>
                <w:sz w:val="16"/>
              </w:rPr>
              <w:t>Visual hierarchy</w:t>
            </w:r>
            <w:r>
              <w:rPr>
                <w:sz w:val="16"/>
              </w:rPr>
              <w:t>: Guiding audience attention</w:t>
            </w:r>
          </w:p>
          <w:p>
            <w:pPr>
              <w:spacing w:before="0" w:after="0" w:line="276" w:lineRule="auto"/>
              <w:ind w:left="170" w:hanging="113"/>
            </w:pPr>
            <w:r>
              <w:rPr>
                <w:sz w:val="16"/>
              </w:rPr>
              <w:t xml:space="preserve">• </w:t>
            </w:r>
            <w:r>
              <w:rPr>
                <w:b/>
                <w:sz w:val="16"/>
              </w:rPr>
              <w:t>Data visualization principles</w:t>
            </w:r>
            <w:r>
              <w:rPr>
                <w:sz w:val="16"/>
              </w:rPr>
              <w:t>: Charts, graphs, and diagrams</w:t>
            </w:r>
          </w:p>
          <w:p>
            <w:pPr>
              <w:spacing w:before="0" w:after="0" w:line="276" w:lineRule="auto"/>
              <w:ind w:left="170" w:hanging="113"/>
            </w:pPr>
            <w:r>
              <w:rPr>
                <w:sz w:val="16"/>
              </w:rPr>
              <w:t xml:space="preserve">• </w:t>
            </w:r>
            <w:r>
              <w:rPr>
                <w:b/>
                <w:sz w:val="16"/>
              </w:rPr>
              <w:t>Slide design best practices</w:t>
            </w:r>
            <w:r>
              <w:rPr>
                <w:sz w:val="16"/>
              </w:rPr>
              <w:t>: Simplicity and impact</w:t>
            </w:r>
          </w:p>
          <w:p>
            <w:pPr>
              <w:spacing w:before="0" w:after="0" w:line="276" w:lineRule="auto"/>
              <w:ind w:left="170" w:hanging="113"/>
            </w:pPr>
            <w:r>
              <w:rPr>
                <w:sz w:val="16"/>
              </w:rPr>
              <w:t xml:space="preserve">• </w:t>
            </w:r>
            <w:r>
              <w:rPr>
                <w:b/>
                <w:sz w:val="16"/>
              </w:rPr>
              <w:t>Cognitive load management</w:t>
            </w:r>
            <w:r>
              <w:rPr>
                <w:sz w:val="16"/>
              </w:rPr>
              <w:t>: Avoiding information overload</w:t>
            </w:r>
          </w:p>
        </w:tc>
        <w:tc>
          <w:tcPr>
            <w:tcW w:type="auto" w:w="0"/>
          </w:tcPr>
          <w:p>
            <w:pPr>
              <w:spacing w:before="0" w:after="0" w:line="276" w:lineRule="auto"/>
              <w:ind w:left="170" w:hanging="113"/>
            </w:pPr>
            <w:r>
              <w:rPr>
                <w:sz w:val="16"/>
              </w:rPr>
              <w:t xml:space="preserve">• </w:t>
            </w:r>
            <w:r>
              <w:rPr>
                <w:sz w:val="16"/>
              </w:rPr>
              <w:t>Duarte's Resonate Framework (2010)</w:t>
            </w:r>
          </w:p>
          <w:p>
            <w:pPr>
              <w:spacing w:before="0" w:after="0" w:line="276" w:lineRule="auto"/>
              <w:ind w:left="170" w:hanging="113"/>
            </w:pPr>
            <w:r>
              <w:rPr>
                <w:sz w:val="16"/>
              </w:rPr>
              <w:t xml:space="preserve">• </w:t>
            </w:r>
            <w:r>
              <w:rPr>
                <w:sz w:val="16"/>
              </w:rPr>
              <w:t>Visual Communication Theory</w:t>
            </w:r>
          </w:p>
        </w:tc>
        <w:tc>
          <w:tcPr>
            <w:tcW w:type="auto" w:w="0"/>
          </w:tcPr>
          <w:p>
            <w:pPr>
              <w:spacing w:before="0" w:after="0" w:line="276" w:lineRule="auto"/>
              <w:ind w:left="170" w:hanging="113"/>
            </w:pPr>
            <w:r>
              <w:rPr>
                <w:sz w:val="16"/>
              </w:rPr>
              <w:t xml:space="preserve">• </w:t>
            </w:r>
            <w:r>
              <w:rPr>
                <w:sz w:val="16"/>
              </w:rPr>
              <w:t xml:space="preserve">Duarte, N. (2010). </w:t>
            </w:r>
            <w:r>
              <w:rPr>
                <w:i/>
                <w:sz w:val="16"/>
              </w:rPr>
              <w:t>Resonate: Present Visual Stories that Transform Audiences</w:t>
            </w:r>
            <w:r>
              <w:rPr>
                <w:sz w:val="16"/>
              </w:rPr>
              <w:t xml:space="preserve"> (Ch. 1-5). Wiley.</w:t>
            </w:r>
          </w:p>
          <w:p>
            <w:pPr>
              <w:spacing w:before="0" w:after="0" w:line="276" w:lineRule="auto"/>
              <w:ind w:left="170" w:hanging="113"/>
            </w:pPr>
            <w:r>
              <w:rPr>
                <w:sz w:val="16"/>
              </w:rPr>
              <w:t xml:space="preserve">• </w:t>
            </w:r>
            <w:r>
              <w:rPr>
                <w:sz w:val="16"/>
              </w:rPr>
              <w:t xml:space="preserve">Reynolds, G. (2012). </w:t>
            </w:r>
            <w:r>
              <w:rPr>
                <w:i/>
                <w:sz w:val="16"/>
              </w:rPr>
              <w:t>Presentation Zen</w:t>
            </w:r>
            <w:r>
              <w:rPr>
                <w:sz w:val="16"/>
              </w:rPr>
              <w:t xml:space="preserve"> (2nd ed., Ch. 4-6). New Riders.</w:t>
            </w:r>
          </w:p>
        </w:tc>
        <w:tc>
          <w:tcPr>
            <w:tcW w:type="auto" w:w="0"/>
          </w:tcPr>
          <w:p/>
        </w:tc>
      </w:tr>
      <w:tr>
        <w:trPr>
          <w:cantSplit/>
        </w:trPr>
        <w:tc>
          <w:tcPr>
            <w:tcW w:type="auto" w:w="0"/>
          </w:tcPr>
          <w:p>
            <w:pPr>
              <w:spacing w:before="0" w:after="0" w:line="276" w:lineRule="auto"/>
            </w:pPr>
            <w:r>
              <w:rPr>
                <w:sz w:val="16"/>
              </w:rPr>
              <w:t>7</w:t>
            </w:r>
          </w:p>
        </w:tc>
        <w:tc>
          <w:tcPr>
            <w:tcW w:type="auto" w:w="0"/>
          </w:tcPr>
          <w:p>
            <w:pPr>
              <w:spacing w:before="0" w:after="0" w:line="276" w:lineRule="auto"/>
            </w:pPr>
            <w:r>
              <w:rPr>
                <w:b/>
                <w:sz w:val="16"/>
              </w:rPr>
              <w:t>Persuasive Presentations</w:t>
            </w:r>
            <w:r>
              <w:rPr>
                <w:sz w:val="16"/>
              </w:rPr>
              <w:t>: Inspiring action through storytelling</w:t>
            </w:r>
          </w:p>
        </w:tc>
        <w:tc>
          <w:tcPr>
            <w:tcW w:type="auto" w:w="0"/>
          </w:tcPr>
          <w:p>
            <w:pPr>
              <w:spacing w:before="0" w:after="0" w:line="276" w:lineRule="auto"/>
              <w:ind w:left="170" w:hanging="113"/>
            </w:pPr>
            <w:r>
              <w:rPr>
                <w:sz w:val="16"/>
              </w:rPr>
              <w:t xml:space="preserve">• </w:t>
            </w:r>
            <w:r>
              <w:rPr>
                <w:b/>
                <w:sz w:val="16"/>
              </w:rPr>
              <w:t>Rhetorical appeals</w:t>
            </w:r>
            <w:r>
              <w:rPr>
                <w:sz w:val="16"/>
              </w:rPr>
              <w:t>: Ethos, pathos, logos</w:t>
            </w:r>
          </w:p>
          <w:p>
            <w:pPr>
              <w:spacing w:before="0" w:after="0" w:line="276" w:lineRule="auto"/>
              <w:ind w:left="170" w:hanging="113"/>
            </w:pPr>
            <w:r>
              <w:rPr>
                <w:sz w:val="16"/>
              </w:rPr>
              <w:t xml:space="preserve">• </w:t>
            </w:r>
            <w:r>
              <w:rPr>
                <w:b/>
                <w:sz w:val="16"/>
              </w:rPr>
              <w:t>Storytelling in business</w:t>
            </w:r>
            <w:r>
              <w:rPr>
                <w:sz w:val="16"/>
              </w:rPr>
              <w:t>: Narrative structure for impact</w:t>
            </w:r>
          </w:p>
          <w:p>
            <w:pPr>
              <w:spacing w:before="0" w:after="0" w:line="276" w:lineRule="auto"/>
              <w:ind w:left="170" w:hanging="113"/>
            </w:pPr>
            <w:r>
              <w:rPr>
                <w:sz w:val="16"/>
              </w:rPr>
              <w:t xml:space="preserve">• </w:t>
            </w:r>
            <w:r>
              <w:rPr>
                <w:b/>
                <w:sz w:val="16"/>
              </w:rPr>
              <w:t>Emotional engagement</w:t>
            </w:r>
            <w:r>
              <w:rPr>
                <w:sz w:val="16"/>
              </w:rPr>
              <w:t>: Connecting with audiences</w:t>
            </w:r>
          </w:p>
          <w:p>
            <w:pPr>
              <w:spacing w:before="0" w:after="0" w:line="276" w:lineRule="auto"/>
              <w:ind w:left="170" w:hanging="113"/>
            </w:pPr>
            <w:r>
              <w:rPr>
                <w:sz w:val="16"/>
              </w:rPr>
              <w:t xml:space="preserve">• </w:t>
            </w:r>
            <w:r>
              <w:rPr>
                <w:b/>
                <w:sz w:val="16"/>
              </w:rPr>
              <w:t>Call to action</w:t>
            </w:r>
            <w:r>
              <w:rPr>
                <w:sz w:val="16"/>
              </w:rPr>
              <w:t>: Driving specific outcomes</w:t>
            </w:r>
          </w:p>
        </w:tc>
        <w:tc>
          <w:tcPr>
            <w:tcW w:type="auto" w:w="0"/>
          </w:tcPr>
          <w:p>
            <w:pPr>
              <w:spacing w:before="0" w:after="0" w:line="276" w:lineRule="auto"/>
              <w:ind w:left="170" w:hanging="113"/>
            </w:pPr>
            <w:r>
              <w:rPr>
                <w:sz w:val="16"/>
              </w:rPr>
              <w:t xml:space="preserve">• </w:t>
            </w:r>
            <w:r>
              <w:rPr>
                <w:sz w:val="16"/>
              </w:rPr>
              <w:t>Cialdini's Principles of Persuasion (2006)</w:t>
            </w:r>
          </w:p>
          <w:p>
            <w:pPr>
              <w:spacing w:before="0" w:after="0" w:line="276" w:lineRule="auto"/>
              <w:ind w:left="170" w:hanging="113"/>
            </w:pPr>
            <w:r>
              <w:rPr>
                <w:sz w:val="16"/>
              </w:rPr>
              <w:t xml:space="preserve">• </w:t>
            </w:r>
            <w:r>
              <w:rPr>
                <w:sz w:val="16"/>
              </w:rPr>
              <w:t>Storytelling Arc Framework</w:t>
            </w:r>
          </w:p>
        </w:tc>
        <w:tc>
          <w:tcPr>
            <w:tcW w:type="auto" w:w="0"/>
          </w:tcPr>
          <w:p>
            <w:pPr>
              <w:spacing w:before="0" w:after="0" w:line="276" w:lineRule="auto"/>
              <w:ind w:left="170" w:hanging="113"/>
            </w:pPr>
            <w:r>
              <w:rPr>
                <w:sz w:val="16"/>
              </w:rPr>
              <w:t xml:space="preserve">• </w:t>
            </w:r>
            <w:r>
              <w:rPr>
                <w:sz w:val="16"/>
              </w:rPr>
              <w:t xml:space="preserve">Cialdini, R. B. (2006). </w:t>
            </w:r>
            <w:r>
              <w:rPr>
                <w:i/>
                <w:sz w:val="16"/>
              </w:rPr>
              <w:t>Influence: The Psychology of Persuasion</w:t>
            </w:r>
            <w:r>
              <w:rPr>
                <w:sz w:val="16"/>
              </w:rPr>
              <w:t xml:space="preserve"> (Rev. ed., Ch. 1-3). Harper Business.</w:t>
            </w:r>
          </w:p>
          <w:p>
            <w:pPr>
              <w:spacing w:before="0" w:after="0" w:line="276" w:lineRule="auto"/>
              <w:ind w:left="170" w:hanging="113"/>
            </w:pPr>
            <w:r>
              <w:rPr>
                <w:sz w:val="16"/>
              </w:rPr>
              <w:t xml:space="preserve">• </w:t>
            </w:r>
            <w:r>
              <w:rPr>
                <w:sz w:val="16"/>
              </w:rPr>
              <w:t xml:space="preserve">Gallo, C. (2014). </w:t>
            </w:r>
            <w:r>
              <w:rPr>
                <w:i/>
                <w:sz w:val="16"/>
              </w:rPr>
              <w:t>Talk Like TED: The 9 Public Speaking Secrets</w:t>
            </w:r>
            <w:r>
              <w:rPr>
                <w:sz w:val="16"/>
              </w:rPr>
              <w:t xml:space="preserve"> (Ch. 4-6). St. Martin's Press.</w:t>
            </w:r>
          </w:p>
        </w:tc>
        <w:tc>
          <w:tcPr>
            <w:tcW w:type="auto" w:w="0"/>
          </w:tcPr>
          <w:p>
            <w:pPr>
              <w:spacing w:before="0" w:after="0" w:line="276" w:lineRule="auto"/>
            </w:pPr>
            <w:r>
              <w:rPr>
                <w:sz w:val="16"/>
              </w:rPr>
              <w:t>Persuasive Proposal (15%)</w:t>
            </w:r>
          </w:p>
        </w:tc>
      </w:tr>
      <w:tr>
        <w:trPr>
          <w:cantSplit/>
        </w:trPr>
        <w:tc>
          <w:tcPr>
            <w:tcW w:type="auto" w:w="0"/>
          </w:tcPr>
          <w:p>
            <w:pPr>
              <w:spacing w:before="0" w:after="0" w:line="276" w:lineRule="auto"/>
            </w:pPr>
            <w:r>
              <w:rPr>
                <w:sz w:val="16"/>
              </w:rPr>
              <w:t>8</w:t>
            </w:r>
          </w:p>
        </w:tc>
        <w:tc>
          <w:tcPr>
            <w:tcW w:type="auto" w:w="0"/>
          </w:tcPr>
          <w:p>
            <w:pPr>
              <w:spacing w:before="0" w:after="0" w:line="276" w:lineRule="auto"/>
            </w:pPr>
            <w:r>
              <w:rPr>
                <w:b/>
                <w:sz w:val="16"/>
              </w:rPr>
              <w:t>High-Stakes Communication</w:t>
            </w:r>
            <w:r>
              <w:rPr>
                <w:sz w:val="16"/>
              </w:rPr>
              <w:t>: Executive presence under pressure</w:t>
            </w:r>
          </w:p>
        </w:tc>
        <w:tc>
          <w:tcPr>
            <w:tcW w:type="auto" w:w="0"/>
          </w:tcPr>
          <w:p>
            <w:pPr>
              <w:spacing w:before="0" w:after="0" w:line="276" w:lineRule="auto"/>
              <w:ind w:left="170" w:hanging="113"/>
            </w:pPr>
            <w:r>
              <w:rPr>
                <w:sz w:val="16"/>
              </w:rPr>
              <w:t xml:space="preserve">• </w:t>
            </w:r>
            <w:r>
              <w:rPr>
                <w:b/>
                <w:sz w:val="16"/>
              </w:rPr>
              <w:t>Executive presence</w:t>
            </w:r>
            <w:r>
              <w:rPr>
                <w:sz w:val="16"/>
              </w:rPr>
              <w:t>: Projecting confidence and credibility</w:t>
            </w:r>
          </w:p>
          <w:p>
            <w:pPr>
              <w:spacing w:before="0" w:after="0" w:line="276" w:lineRule="auto"/>
              <w:ind w:left="170" w:hanging="113"/>
            </w:pPr>
            <w:r>
              <w:rPr>
                <w:sz w:val="16"/>
              </w:rPr>
              <w:t xml:space="preserve">• </w:t>
            </w:r>
            <w:r>
              <w:rPr>
                <w:b/>
                <w:sz w:val="16"/>
              </w:rPr>
              <w:t>Handling Q&amp;A</w:t>
            </w:r>
            <w:r>
              <w:rPr>
                <w:sz w:val="16"/>
              </w:rPr>
              <w:t>: Responding to challenging questions</w:t>
            </w:r>
          </w:p>
          <w:p>
            <w:pPr>
              <w:spacing w:before="0" w:after="0" w:line="276" w:lineRule="auto"/>
              <w:ind w:left="170" w:hanging="113"/>
            </w:pPr>
            <w:r>
              <w:rPr>
                <w:sz w:val="16"/>
              </w:rPr>
              <w:t xml:space="preserve">• </w:t>
            </w:r>
            <w:r>
              <w:rPr>
                <w:b/>
                <w:sz w:val="16"/>
              </w:rPr>
              <w:t>Difficult conversations</w:t>
            </w:r>
            <w:r>
              <w:rPr>
                <w:sz w:val="16"/>
              </w:rPr>
              <w:t>: Navigating sensitive topics</w:t>
            </w:r>
          </w:p>
          <w:p>
            <w:pPr>
              <w:spacing w:before="0" w:after="0" w:line="276" w:lineRule="auto"/>
              <w:ind w:left="170" w:hanging="113"/>
            </w:pPr>
            <w:r>
              <w:rPr>
                <w:sz w:val="16"/>
              </w:rPr>
              <w:t xml:space="preserve">• </w:t>
            </w:r>
            <w:r>
              <w:rPr>
                <w:b/>
                <w:sz w:val="16"/>
              </w:rPr>
              <w:t>Crisis communication fundamentals</w:t>
            </w:r>
            <w:r>
              <w:rPr>
                <w:sz w:val="16"/>
              </w:rPr>
              <w:t>: Responding to urgent situations</w:t>
            </w:r>
          </w:p>
        </w:tc>
        <w:tc>
          <w:tcPr>
            <w:tcW w:type="auto" w:w="0"/>
          </w:tcPr>
          <w:p>
            <w:pPr>
              <w:spacing w:before="0" w:after="0" w:line="276" w:lineRule="auto"/>
              <w:ind w:left="170" w:hanging="113"/>
            </w:pPr>
            <w:r>
              <w:rPr>
                <w:sz w:val="16"/>
              </w:rPr>
              <w:t xml:space="preserve">• </w:t>
            </w:r>
            <w:r>
              <w:rPr>
                <w:sz w:val="16"/>
              </w:rPr>
              <w:t>Executive Presence Model (Hewlett, 2014)</w:t>
            </w:r>
          </w:p>
          <w:p>
            <w:pPr>
              <w:spacing w:before="0" w:after="0" w:line="276" w:lineRule="auto"/>
              <w:ind w:left="170" w:hanging="113"/>
            </w:pPr>
            <w:r>
              <w:rPr>
                <w:sz w:val="16"/>
              </w:rPr>
              <w:t xml:space="preserve">• </w:t>
            </w:r>
            <w:r>
              <w:rPr>
                <w:sz w:val="16"/>
              </w:rPr>
              <w:t>Crisis Communication Framework</w:t>
            </w:r>
          </w:p>
        </w:tc>
        <w:tc>
          <w:tcPr>
            <w:tcW w:type="auto" w:w="0"/>
          </w:tcPr>
          <w:p>
            <w:pPr>
              <w:spacing w:before="0" w:after="0" w:line="276" w:lineRule="auto"/>
              <w:ind w:left="170" w:hanging="113"/>
            </w:pPr>
            <w:r>
              <w:rPr>
                <w:sz w:val="16"/>
              </w:rPr>
              <w:t xml:space="preserve">• </w:t>
            </w:r>
            <w:r>
              <w:rPr>
                <w:sz w:val="16"/>
              </w:rPr>
              <w:t xml:space="preserve">Hewlett, S. A. (2014). </w:t>
            </w:r>
            <w:r>
              <w:rPr>
                <w:i/>
                <w:sz w:val="16"/>
              </w:rPr>
              <w:t>Executive Presence: The Missing Link Between Merit and Success</w:t>
            </w:r>
            <w:r>
              <w:rPr>
                <w:sz w:val="16"/>
              </w:rPr>
              <w:t xml:space="preserve"> (Ch. 1-4). HarperBusiness.</w:t>
            </w:r>
          </w:p>
          <w:p>
            <w:pPr>
              <w:spacing w:before="0" w:after="0" w:line="276" w:lineRule="auto"/>
              <w:ind w:left="170" w:hanging="113"/>
            </w:pPr>
            <w:r>
              <w:rPr>
                <w:sz w:val="16"/>
              </w:rPr>
              <w:t xml:space="preserve">• </w:t>
            </w:r>
            <w:r>
              <w:rPr>
                <w:sz w:val="16"/>
              </w:rPr>
              <w:t xml:space="preserve">Argenti, P. A. (2002). Crisis communication: Lessons from 9/11. </w:t>
            </w:r>
            <w:r>
              <w:rPr>
                <w:i/>
                <w:sz w:val="16"/>
              </w:rPr>
              <w:t>Harvard Business Review</w:t>
            </w:r>
            <w:r>
              <w:rPr>
                <w:sz w:val="16"/>
              </w:rPr>
              <w:t xml:space="preserve">, </w:t>
            </w:r>
            <w:r>
              <w:rPr>
                <w:i/>
                <w:sz w:val="16"/>
              </w:rPr>
              <w:t>80</w:t>
            </w:r>
            <w:r>
              <w:rPr>
                <w:sz w:val="16"/>
              </w:rPr>
              <w:t>(12), 103-109.</w:t>
            </w:r>
          </w:p>
        </w:tc>
        <w:tc>
          <w:tcPr>
            <w:tcW w:type="auto" w:w="0"/>
          </w:tcPr>
          <w:p/>
        </w:tc>
      </w:tr>
      <w:tr>
        <w:trPr>
          <w:cantSplit/>
        </w:trPr>
        <w:tc>
          <w:tcPr>
            <w:tcW w:type="auto" w:w="0"/>
          </w:tcPr>
          <w:p>
            <w:pPr>
              <w:spacing w:before="0" w:after="0" w:line="276" w:lineRule="auto"/>
            </w:pPr>
            <w:r>
              <w:rPr>
                <w:sz w:val="16"/>
              </w:rPr>
              <w:t>9</w:t>
            </w:r>
          </w:p>
        </w:tc>
        <w:tc>
          <w:tcPr>
            <w:tcW w:type="auto" w:w="0"/>
          </w:tcPr>
          <w:p>
            <w:pPr>
              <w:spacing w:before="0" w:after="0" w:line="276" w:lineRule="auto"/>
            </w:pPr>
            <w:r>
              <w:rPr>
                <w:b/>
                <w:sz w:val="16"/>
              </w:rPr>
              <w:t>Cross-Cultural &amp; Team Communication</w:t>
            </w:r>
            <w:r>
              <w:rPr>
                <w:sz w:val="16"/>
              </w:rPr>
              <w:t>: Bridging diverse perspectives</w:t>
            </w:r>
          </w:p>
        </w:tc>
        <w:tc>
          <w:tcPr>
            <w:tcW w:type="auto" w:w="0"/>
          </w:tcPr>
          <w:p>
            <w:pPr>
              <w:spacing w:before="0" w:after="0" w:line="276" w:lineRule="auto"/>
              <w:ind w:left="170" w:hanging="113"/>
            </w:pPr>
            <w:r>
              <w:rPr>
                <w:sz w:val="16"/>
              </w:rPr>
              <w:t xml:space="preserve">• </w:t>
            </w:r>
            <w:r>
              <w:rPr>
                <w:b/>
                <w:sz w:val="16"/>
              </w:rPr>
              <w:t>Cultural dimensions in communication</w:t>
            </w:r>
            <w:r>
              <w:rPr>
                <w:sz w:val="16"/>
              </w:rPr>
              <w:t>: Hofstede's framework</w:t>
            </w:r>
          </w:p>
          <w:p>
            <w:pPr>
              <w:spacing w:before="0" w:after="0" w:line="276" w:lineRule="auto"/>
              <w:ind w:left="170" w:hanging="113"/>
            </w:pPr>
            <w:r>
              <w:rPr>
                <w:sz w:val="16"/>
              </w:rPr>
              <w:t xml:space="preserve">• </w:t>
            </w:r>
            <w:r>
              <w:rPr>
                <w:b/>
                <w:sz w:val="16"/>
              </w:rPr>
              <w:t>Virtual team communication</w:t>
            </w:r>
            <w:r>
              <w:rPr>
                <w:sz w:val="16"/>
              </w:rPr>
              <w:t>: Remote collaboration strategies</w:t>
            </w:r>
          </w:p>
          <w:p>
            <w:pPr>
              <w:spacing w:before="0" w:after="0" w:line="276" w:lineRule="auto"/>
              <w:ind w:left="170" w:hanging="113"/>
            </w:pPr>
            <w:r>
              <w:rPr>
                <w:sz w:val="16"/>
              </w:rPr>
              <w:t xml:space="preserve">• </w:t>
            </w:r>
            <w:r>
              <w:rPr>
                <w:b/>
                <w:sz w:val="16"/>
              </w:rPr>
              <w:t>Collaborative presentations</w:t>
            </w:r>
            <w:r>
              <w:rPr>
                <w:sz w:val="16"/>
              </w:rPr>
              <w:t>: Team-based delivery</w:t>
            </w:r>
          </w:p>
          <w:p>
            <w:pPr>
              <w:spacing w:before="0" w:after="0" w:line="276" w:lineRule="auto"/>
              <w:ind w:left="170" w:hanging="113"/>
            </w:pPr>
            <w:r>
              <w:rPr>
                <w:sz w:val="16"/>
              </w:rPr>
              <w:t xml:space="preserve">• </w:t>
            </w:r>
            <w:r>
              <w:rPr>
                <w:b/>
                <w:sz w:val="16"/>
              </w:rPr>
              <w:t>Feedback culture</w:t>
            </w:r>
            <w:r>
              <w:rPr>
                <w:sz w:val="16"/>
              </w:rPr>
              <w:t>: Giving and receiving constructive input</w:t>
            </w:r>
          </w:p>
        </w:tc>
        <w:tc>
          <w:tcPr>
            <w:tcW w:type="auto" w:w="0"/>
          </w:tcPr>
          <w:p>
            <w:pPr>
              <w:spacing w:before="0" w:after="0" w:line="276" w:lineRule="auto"/>
              <w:ind w:left="170" w:hanging="113"/>
            </w:pPr>
            <w:r>
              <w:rPr>
                <w:sz w:val="16"/>
              </w:rPr>
              <w:t xml:space="preserve">• </w:t>
            </w:r>
            <w:r>
              <w:rPr>
                <w:sz w:val="16"/>
              </w:rPr>
              <w:t>Cultural Dimensions Theory (Hofstede, 1980)</w:t>
            </w:r>
          </w:p>
          <w:p>
            <w:pPr>
              <w:spacing w:before="0" w:after="0" w:line="276" w:lineRule="auto"/>
              <w:ind w:left="170" w:hanging="113"/>
            </w:pPr>
            <w:r>
              <w:rPr>
                <w:sz w:val="16"/>
              </w:rPr>
              <w:t xml:space="preserve">• </w:t>
            </w:r>
            <w:r>
              <w:rPr>
                <w:sz w:val="16"/>
              </w:rPr>
              <w:t>Virtual Team Communication Model</w:t>
            </w:r>
          </w:p>
        </w:tc>
        <w:tc>
          <w:tcPr>
            <w:tcW w:type="auto" w:w="0"/>
          </w:tcPr>
          <w:p>
            <w:pPr>
              <w:spacing w:before="0" w:after="0" w:line="276" w:lineRule="auto"/>
              <w:ind w:left="170" w:hanging="113"/>
            </w:pPr>
            <w:r>
              <w:rPr>
                <w:sz w:val="16"/>
              </w:rPr>
              <w:t xml:space="preserve">• </w:t>
            </w:r>
            <w:r>
              <w:rPr>
                <w:sz w:val="16"/>
              </w:rPr>
              <w:t xml:space="preserve">Meyer, E. (2014). </w:t>
            </w:r>
            <w:r>
              <w:rPr>
                <w:i/>
                <w:sz w:val="16"/>
              </w:rPr>
              <w:t>The Culture Map: Breaking Through the Invisible Boundaries of Global Business</w:t>
            </w:r>
            <w:r>
              <w:rPr>
                <w:sz w:val="16"/>
              </w:rPr>
              <w:t xml:space="preserve"> (Ch. 1-4). PublicAffairs.</w:t>
            </w:r>
          </w:p>
          <w:p>
            <w:pPr>
              <w:spacing w:before="0" w:after="0" w:line="276" w:lineRule="auto"/>
              <w:ind w:left="170" w:hanging="113"/>
            </w:pPr>
            <w:r>
              <w:rPr>
                <w:sz w:val="16"/>
              </w:rPr>
              <w:t xml:space="preserve">• </w:t>
            </w:r>
            <w:r>
              <w:rPr>
                <w:sz w:val="16"/>
              </w:rPr>
              <w:t xml:space="preserve">Brett, J., Behfar, K., &amp; Kern, M. C. (2006). Managing multicultural teams. </w:t>
            </w:r>
            <w:r>
              <w:rPr>
                <w:i/>
                <w:sz w:val="16"/>
              </w:rPr>
              <w:t>Harvard Business Review</w:t>
            </w:r>
            <w:r>
              <w:rPr>
                <w:sz w:val="16"/>
              </w:rPr>
              <w:t xml:space="preserve">, </w:t>
            </w:r>
            <w:r>
              <w:rPr>
                <w:i/>
                <w:sz w:val="16"/>
              </w:rPr>
              <w:t>84</w:t>
            </w:r>
            <w:r>
              <w:rPr>
                <w:sz w:val="16"/>
              </w:rPr>
              <w:t>(11), 84-91.</w:t>
            </w:r>
          </w:p>
        </w:tc>
        <w:tc>
          <w:tcPr>
            <w:tcW w:type="auto" w:w="0"/>
          </w:tcPr>
          <w:p/>
        </w:tc>
      </w:tr>
      <w:tr>
        <w:trPr>
          <w:cantSplit/>
        </w:trPr>
        <w:tc>
          <w:tcPr>
            <w:tcW w:type="auto" w:w="0"/>
          </w:tcPr>
          <w:p>
            <w:pPr>
              <w:spacing w:before="0" w:after="0" w:line="276" w:lineRule="auto"/>
            </w:pPr>
            <w:r>
              <w:rPr>
                <w:sz w:val="16"/>
              </w:rPr>
              <w:t>10</w:t>
            </w:r>
          </w:p>
        </w:tc>
        <w:tc>
          <w:tcPr>
            <w:tcW w:type="auto" w:w="0"/>
          </w:tcPr>
          <w:p>
            <w:pPr>
              <w:spacing w:before="0" w:after="0" w:line="276" w:lineRule="auto"/>
            </w:pPr>
            <w:r>
              <w:rPr>
                <w:b/>
                <w:sz w:val="16"/>
              </w:rPr>
              <w:t>Integration &amp; Capstone</w:t>
            </w:r>
            <w:r>
              <w:rPr>
                <w:sz w:val="16"/>
              </w:rPr>
              <w:t>: Synthesizing course learning</w:t>
            </w:r>
          </w:p>
        </w:tc>
        <w:tc>
          <w:tcPr>
            <w:tcW w:type="auto" w:w="0"/>
          </w:tcPr>
          <w:p>
            <w:pPr>
              <w:spacing w:before="0" w:after="0" w:line="276" w:lineRule="auto"/>
              <w:ind w:left="170" w:hanging="113"/>
            </w:pPr>
            <w:r>
              <w:rPr>
                <w:sz w:val="16"/>
              </w:rPr>
              <w:t xml:space="preserve">• </w:t>
            </w:r>
            <w:r>
              <w:rPr>
                <w:b/>
                <w:sz w:val="16"/>
              </w:rPr>
              <w:t>Capstone presentation preparation</w:t>
            </w:r>
            <w:r>
              <w:rPr>
                <w:sz w:val="16"/>
              </w:rPr>
              <w:t>: Bringing it all together</w:t>
            </w:r>
          </w:p>
          <w:p>
            <w:pPr>
              <w:spacing w:before="0" w:after="0" w:line="276" w:lineRule="auto"/>
              <w:ind w:left="170" w:hanging="113"/>
            </w:pPr>
            <w:r>
              <w:rPr>
                <w:sz w:val="16"/>
              </w:rPr>
              <w:t xml:space="preserve">• </w:t>
            </w:r>
            <w:r>
              <w:rPr>
                <w:b/>
                <w:sz w:val="16"/>
              </w:rPr>
              <w:t>Self-assessment</w:t>
            </w:r>
            <w:r>
              <w:rPr>
                <w:sz w:val="16"/>
              </w:rPr>
              <w:t>: Personal communication growth</w:t>
            </w:r>
          </w:p>
          <w:p>
            <w:pPr>
              <w:spacing w:before="0" w:after="0" w:line="276" w:lineRule="auto"/>
              <w:ind w:left="170" w:hanging="113"/>
            </w:pPr>
            <w:r>
              <w:rPr>
                <w:sz w:val="16"/>
              </w:rPr>
              <w:t xml:space="preserve">• </w:t>
            </w:r>
            <w:r>
              <w:rPr>
                <w:b/>
                <w:sz w:val="16"/>
              </w:rPr>
              <w:t>Development planning</w:t>
            </w:r>
            <w:r>
              <w:rPr>
                <w:sz w:val="16"/>
              </w:rPr>
              <w:t>: Continuous improvement roadmap</w:t>
            </w:r>
          </w:p>
          <w:p>
            <w:pPr>
              <w:spacing w:before="0" w:after="0" w:line="276" w:lineRule="auto"/>
              <w:ind w:left="170" w:hanging="113"/>
            </w:pPr>
            <w:r>
              <w:rPr>
                <w:sz w:val="16"/>
              </w:rPr>
              <w:t xml:space="preserve">• </w:t>
            </w:r>
            <w:r>
              <w:rPr>
                <w:b/>
                <w:sz w:val="16"/>
              </w:rPr>
              <w:t>Course synthesis</w:t>
            </w:r>
            <w:r>
              <w:rPr>
                <w:sz w:val="16"/>
              </w:rPr>
              <w:t>: Integrating all frameworks</w:t>
            </w:r>
          </w:p>
        </w:tc>
        <w:tc>
          <w:tcPr>
            <w:tcW w:type="auto" w:w="0"/>
          </w:tcPr>
          <w:p>
            <w:pPr>
              <w:spacing w:before="0" w:after="0" w:line="276" w:lineRule="auto"/>
              <w:ind w:left="170" w:hanging="113"/>
            </w:pPr>
            <w:r>
              <w:rPr>
                <w:sz w:val="16"/>
              </w:rPr>
              <w:t xml:space="preserve">• </w:t>
            </w:r>
            <w:r>
              <w:rPr>
                <w:sz w:val="16"/>
              </w:rPr>
              <w:t>Reflective Practice Model (Schön, 1983)</w:t>
            </w:r>
          </w:p>
          <w:p>
            <w:pPr>
              <w:spacing w:before="0" w:after="0" w:line="276" w:lineRule="auto"/>
              <w:ind w:left="170" w:hanging="113"/>
            </w:pPr>
            <w:r>
              <w:rPr>
                <w:sz w:val="16"/>
              </w:rPr>
              <w:t xml:space="preserve">• </w:t>
            </w:r>
            <w:r>
              <w:rPr>
                <w:sz w:val="16"/>
              </w:rPr>
              <w:t>Experiential Learning Cycle (Kolb, 1984)</w:t>
            </w:r>
          </w:p>
        </w:tc>
        <w:tc>
          <w:tcPr>
            <w:tcW w:type="auto" w:w="0"/>
          </w:tcPr>
          <w:p>
            <w:pPr>
              <w:spacing w:before="0" w:after="0" w:line="276" w:lineRule="auto"/>
              <w:ind w:left="170" w:hanging="113"/>
            </w:pPr>
            <w:r>
              <w:rPr>
                <w:sz w:val="16"/>
              </w:rPr>
              <w:t xml:space="preserve">• </w:t>
            </w:r>
            <w:r>
              <w:rPr>
                <w:sz w:val="16"/>
              </w:rPr>
              <w:t xml:space="preserve">Schön, D. A. (1983). </w:t>
            </w:r>
            <w:r>
              <w:rPr>
                <w:i/>
                <w:sz w:val="16"/>
              </w:rPr>
              <w:t>The Reflective Practitioner: How Professionals Think in Action</w:t>
            </w:r>
            <w:r>
              <w:rPr>
                <w:sz w:val="16"/>
              </w:rPr>
              <w:t xml:space="preserve"> (Ch. 1-2). Basic Books.</w:t>
            </w:r>
          </w:p>
          <w:p>
            <w:pPr>
              <w:spacing w:before="0" w:after="0" w:line="276" w:lineRule="auto"/>
              <w:ind w:left="170" w:hanging="113"/>
            </w:pPr>
            <w:r>
              <w:rPr>
                <w:sz w:val="16"/>
              </w:rPr>
              <w:t xml:space="preserve">• </w:t>
            </w:r>
            <w:r>
              <w:rPr>
                <w:sz w:val="16"/>
              </w:rPr>
              <w:t xml:space="preserve">Kolb, D. A. (2015). </w:t>
            </w:r>
            <w:r>
              <w:rPr>
                <w:i/>
                <w:sz w:val="16"/>
              </w:rPr>
              <w:t>Experiential Learning: Experience as the Source of Learning</w:t>
            </w:r>
            <w:r>
              <w:rPr>
                <w:sz w:val="16"/>
              </w:rPr>
              <w:t xml:space="preserve"> (2nd ed., Ch. 2). Pearson.</w:t>
            </w:r>
          </w:p>
        </w:tc>
        <w:tc>
          <w:tcPr>
            <w:tcW w:type="auto" w:w="0"/>
          </w:tcPr>
          <w:p>
            <w:pPr>
              <w:spacing w:before="0" w:after="0" w:line="276" w:lineRule="auto"/>
            </w:pPr>
            <w:r>
              <w:rPr>
                <w:sz w:val="16"/>
              </w:rPr>
              <w:t>Executive Summary (10%)</w:t>
            </w:r>
          </w:p>
        </w:tc>
      </w:tr>
      <w:tr>
        <w:trPr>
          <w:cantSplit/>
        </w:trPr>
        <w:tc>
          <w:tcPr>
            <w:tcW w:type="auto" w:w="0"/>
          </w:tcPr>
          <w:p>
            <w:pPr>
              <w:spacing w:before="0" w:after="0" w:line="276" w:lineRule="auto"/>
            </w:pPr>
            <w:r>
              <w:rPr>
                <w:sz w:val="16"/>
              </w:rPr>
              <w:t>11</w:t>
            </w:r>
          </w:p>
        </w:tc>
        <w:tc>
          <w:tcPr>
            <w:tcW w:type="auto" w:w="0"/>
          </w:tcPr>
          <w:p>
            <w:pPr>
              <w:spacing w:before="0" w:after="0" w:line="276" w:lineRule="auto"/>
            </w:pPr>
            <w:r>
              <w:rPr>
                <w:b/>
                <w:sz w:val="16"/>
              </w:rPr>
              <w:t>Review &amp; Assessment</w:t>
            </w:r>
            <w:r>
              <w:rPr>
                <w:sz w:val="16"/>
              </w:rPr>
              <w:t>: Demonstrating comprehensive understanding</w:t>
            </w:r>
          </w:p>
        </w:tc>
        <w:tc>
          <w:tcPr>
            <w:tcW w:type="auto" w:w="0"/>
          </w:tcPr>
          <w:p>
            <w:pPr>
              <w:spacing w:before="0" w:after="0" w:line="276" w:lineRule="auto"/>
              <w:ind w:left="170" w:hanging="113"/>
            </w:pPr>
            <w:r>
              <w:rPr>
                <w:sz w:val="16"/>
              </w:rPr>
              <w:t xml:space="preserve">• </w:t>
            </w:r>
            <w:r>
              <w:rPr>
                <w:b/>
                <w:sz w:val="16"/>
              </w:rPr>
              <w:t>Course review</w:t>
            </w:r>
            <w:r>
              <w:rPr>
                <w:sz w:val="16"/>
              </w:rPr>
              <w:t>: Key frameworks and concepts</w:t>
            </w:r>
          </w:p>
          <w:p>
            <w:pPr>
              <w:spacing w:before="0" w:after="0" w:line="276" w:lineRule="auto"/>
              <w:ind w:left="170" w:hanging="113"/>
            </w:pPr>
            <w:r>
              <w:rPr>
                <w:sz w:val="16"/>
              </w:rPr>
              <w:t xml:space="preserve">• </w:t>
            </w:r>
            <w:r>
              <w:rPr>
                <w:b/>
                <w:sz w:val="16"/>
              </w:rPr>
              <w:t>Quiz preparation</w:t>
            </w:r>
            <w:r>
              <w:rPr>
                <w:sz w:val="16"/>
              </w:rPr>
              <w:t>: Study strategies</w:t>
            </w:r>
          </w:p>
          <w:p>
            <w:pPr>
              <w:spacing w:before="0" w:after="0" w:line="276" w:lineRule="auto"/>
              <w:ind w:left="170" w:hanging="113"/>
            </w:pPr>
            <w:r>
              <w:rPr>
                <w:sz w:val="16"/>
              </w:rPr>
              <w:t xml:space="preserve">• </w:t>
            </w:r>
            <w:r>
              <w:rPr>
                <w:b/>
                <w:sz w:val="16"/>
              </w:rPr>
              <w:t>Final presentation coaching</w:t>
            </w:r>
            <w:r>
              <w:rPr>
                <w:sz w:val="16"/>
              </w:rPr>
              <w:t>: Feedback sessions</w:t>
            </w:r>
          </w:p>
        </w:tc>
        <w:tc>
          <w:tcPr>
            <w:tcW w:type="auto" w:w="0"/>
          </w:tcPr>
          <w:p>
            <w:pPr>
              <w:spacing w:before="0" w:after="0" w:line="276" w:lineRule="auto"/>
            </w:pPr>
            <w:r>
              <w:rPr>
                <w:sz w:val="16"/>
              </w:rPr>
              <w:t>Review materials</w:t>
            </w:r>
          </w:p>
        </w:tc>
        <w:tc>
          <w:tcPr>
            <w:tcW w:type="auto" w:w="0"/>
          </w:tcPr>
          <w:p/>
        </w:tc>
        <w:tc>
          <w:tcPr>
            <w:tcW w:type="auto" w:w="0"/>
          </w:tcPr>
          <w:p>
            <w:pPr>
              <w:spacing w:before="0" w:after="0" w:line="276" w:lineRule="auto"/>
            </w:pPr>
            <w:r>
              <w:rPr>
                <w:sz w:val="16"/>
              </w:rPr>
              <w:t>In-Class Quiz (15%)</w:t>
            </w:r>
          </w:p>
        </w:tc>
      </w:tr>
      <w:tr>
        <w:trPr>
          <w:cantSplit/>
        </w:trPr>
        <w:tc>
          <w:tcPr>
            <w:tcW w:type="auto" w:w="0"/>
          </w:tcPr>
          <w:p>
            <w:pPr>
              <w:spacing w:before="0" w:after="0" w:line="276" w:lineRule="auto"/>
            </w:pPr>
            <w:r>
              <w:rPr>
                <w:sz w:val="16"/>
              </w:rPr>
              <w:t>12</w:t>
            </w:r>
          </w:p>
        </w:tc>
        <w:tc>
          <w:tcPr>
            <w:tcW w:type="auto" w:w="0"/>
          </w:tcPr>
          <w:p>
            <w:pPr>
              <w:spacing w:before="0" w:after="0" w:line="276" w:lineRule="auto"/>
            </w:pPr>
            <w:r>
              <w:rPr>
                <w:b/>
                <w:sz w:val="16"/>
              </w:rPr>
              <w:t>Final Presentations</w:t>
            </w:r>
            <w:r>
              <w:rPr>
                <w:sz w:val="16"/>
              </w:rPr>
              <w:t>: Capstone demonstrations</w:t>
            </w:r>
          </w:p>
        </w:tc>
        <w:tc>
          <w:tcPr>
            <w:tcW w:type="auto" w:w="0"/>
          </w:tcPr>
          <w:p>
            <w:pPr>
              <w:spacing w:before="0" w:after="0" w:line="276" w:lineRule="auto"/>
              <w:ind w:left="170" w:hanging="113"/>
            </w:pPr>
            <w:r>
              <w:rPr>
                <w:sz w:val="16"/>
              </w:rPr>
              <w:t xml:space="preserve">• </w:t>
            </w:r>
            <w:r>
              <w:rPr>
                <w:b/>
                <w:sz w:val="16"/>
              </w:rPr>
              <w:t>Group presentations</w:t>
            </w:r>
            <w:r>
              <w:rPr>
                <w:sz w:val="16"/>
              </w:rPr>
              <w:t>: 15-minute team presentations + 10-minute Q&amp;A</w:t>
            </w:r>
          </w:p>
          <w:p>
            <w:pPr>
              <w:spacing w:before="0" w:after="0" w:line="276" w:lineRule="auto"/>
              <w:ind w:left="170" w:hanging="113"/>
            </w:pPr>
            <w:r>
              <w:rPr>
                <w:sz w:val="16"/>
              </w:rPr>
              <w:t xml:space="preserve">• </w:t>
            </w:r>
            <w:r>
              <w:rPr>
                <w:b/>
                <w:sz w:val="16"/>
              </w:rPr>
              <w:t>Peer feedback</w:t>
            </w:r>
            <w:r>
              <w:rPr>
                <w:sz w:val="16"/>
              </w:rPr>
              <w:t>: Constructive evaluation</w:t>
            </w:r>
          </w:p>
        </w:tc>
        <w:tc>
          <w:tcPr>
            <w:tcW w:type="auto" w:w="0"/>
          </w:tcPr>
          <w:p/>
        </w:tc>
        <w:tc>
          <w:tcPr>
            <w:tcW w:type="auto" w:w="0"/>
          </w:tcPr>
          <w:p/>
        </w:tc>
        <w:tc>
          <w:tcPr>
            <w:tcW w:type="auto" w:w="0"/>
          </w:tcPr>
          <w:p>
            <w:pPr>
              <w:spacing w:before="0" w:after="0" w:line="276" w:lineRule="auto"/>
            </w:pPr>
            <w:r>
              <w:rPr>
                <w:sz w:val="16"/>
              </w:rPr>
              <w:t>Group Presentation (25%)</w:t>
            </w:r>
          </w:p>
          <w:p>
            <w:pPr>
              <w:spacing w:before="0" w:after="0" w:line="276" w:lineRule="auto"/>
            </w:pPr>
            <w:r>
              <w:rPr>
                <w:sz w:val="16"/>
              </w:rPr>
              <w:t>Individual Grade (15%)</w:t>
            </w:r>
          </w:p>
        </w:tc>
      </w:tr>
    </w:tbl>
    <w:p>
      <w:pPr>
        <w:pStyle w:val="Heading1"/>
        <w:keepNext/>
        <w:spacing w:before="240" w:after="120"/>
      </w:pPr>
      <w:r>
        <w:rPr>
          <w:b/>
          <w:sz w:val="16"/>
        </w:rPr>
        <w:t>ASSIGNMENT SUBMISSION</w:t>
      </w:r>
    </w:p>
    <w:p>
      <w:pPr>
        <w:spacing w:before="0" w:after="120"/>
      </w:pPr>
      <w:r>
        <w:rPr>
          <w:sz w:val="16"/>
        </w:rPr>
        <w:t>All assignments must be submitted through Moodle:</w:t>
      </w:r>
    </w:p>
    <w:p>
      <w:pPr>
        <w:spacing w:before="0" w:after="0" w:line="276" w:lineRule="auto"/>
        <w:ind w:left="283"/>
      </w:pPr>
      <w:r>
        <w:rPr>
          <w:sz w:val="20"/>
        </w:rPr>
        <w:t xml:space="preserve">• </w:t>
      </w:r>
      <w:r>
        <w:rPr>
          <w:sz w:val="16"/>
        </w:rPr>
        <w:t>Format: Microsoft Word (.docx) or PDF only</w:t>
      </w:r>
    </w:p>
    <w:p>
      <w:pPr>
        <w:spacing w:before="0" w:after="0" w:line="276" w:lineRule="auto"/>
        <w:ind w:left="283"/>
      </w:pPr>
      <w:r>
        <w:rPr>
          <w:sz w:val="20"/>
        </w:rPr>
        <w:t xml:space="preserve">• </w:t>
      </w:r>
      <w:r>
        <w:rPr>
          <w:sz w:val="16"/>
        </w:rPr>
        <w:t>File Naming: StudentNumber_FirstName_Assignment_Date (e.g., 12345678_Lan_Memo_Oct15.docx)</w:t>
      </w:r>
    </w:p>
    <w:p>
      <w:pPr>
        <w:spacing w:before="0" w:after="0" w:line="276" w:lineRule="auto"/>
        <w:ind w:left="283"/>
      </w:pPr>
      <w:r>
        <w:rPr>
          <w:sz w:val="20"/>
        </w:rPr>
        <w:t xml:space="preserve">• </w:t>
      </w:r>
      <w:r>
        <w:rPr>
          <w:sz w:val="16"/>
        </w:rPr>
        <w:t>Submission Deadline: 11:59 PM on the due date unless otherwise specified</w:t>
      </w:r>
    </w:p>
    <w:p>
      <w:pPr>
        <w:spacing w:before="0" w:after="0" w:line="276" w:lineRule="auto"/>
        <w:ind w:left="283"/>
      </w:pPr>
      <w:r>
        <w:rPr>
          <w:sz w:val="20"/>
        </w:rPr>
        <w:t xml:space="preserve">• </w:t>
      </w:r>
      <w:r>
        <w:rPr>
          <w:sz w:val="16"/>
        </w:rPr>
        <w:t>Late Submissions: Assignments submitted after deadline may not be accepted (instructor discretion based on circumstances)</w:t>
      </w:r>
    </w:p>
    <w:p>
      <w:pPr>
        <w:pStyle w:val="Heading1"/>
        <w:keepNext/>
        <w:spacing w:before="240" w:after="120"/>
      </w:pPr>
      <w:r>
        <w:rPr>
          <w:b/>
          <w:sz w:val="16"/>
        </w:rPr>
        <w:t>COURSE POLICIES</w:t>
      </w:r>
    </w:p>
    <w:p>
      <w:pPr>
        <w:pStyle w:val="Heading2"/>
        <w:keepNext/>
        <w:spacing w:before="240" w:after="120"/>
      </w:pPr>
      <w:r>
        <w:rPr>
          <w:b/>
          <w:sz w:val="16"/>
        </w:rPr>
        <w:t>Group Work</w:t>
      </w:r>
    </w:p>
    <w:p>
      <w:pPr>
        <w:spacing w:before="0" w:after="0" w:line="276" w:lineRule="auto"/>
        <w:ind w:left="283"/>
      </w:pPr>
      <w:r>
        <w:rPr>
          <w:sz w:val="20"/>
        </w:rPr>
        <w:t xml:space="preserve">• </w:t>
      </w:r>
      <w:r>
        <w:rPr>
          <w:sz w:val="16"/>
        </w:rPr>
        <w:t>All portfolio assignments and presentations are completed in groups of 2-4 members</w:t>
      </w:r>
    </w:p>
    <w:p>
      <w:pPr>
        <w:spacing w:before="0" w:after="0" w:line="276" w:lineRule="auto"/>
        <w:ind w:left="283"/>
      </w:pPr>
      <w:r>
        <w:rPr>
          <w:sz w:val="20"/>
        </w:rPr>
        <w:t xml:space="preserve">• </w:t>
      </w:r>
      <w:r>
        <w:rPr>
          <w:sz w:val="16"/>
        </w:rPr>
        <w:t xml:space="preserve">Groups must be formed by </w:t>
      </w:r>
      <w:r>
        <w:rPr>
          <w:b/>
          <w:sz w:val="16"/>
        </w:rPr>
        <w:t>Week 3</w:t>
      </w:r>
      <w:r>
        <w:rPr>
          <w:sz w:val="16"/>
        </w:rPr>
        <w:t xml:space="preserve"> and remain consistent throughout the semester</w:t>
      </w:r>
    </w:p>
    <w:p>
      <w:pPr>
        <w:spacing w:before="0" w:after="0" w:line="276" w:lineRule="auto"/>
        <w:ind w:left="283"/>
      </w:pPr>
      <w:r>
        <w:rPr>
          <w:sz w:val="20"/>
        </w:rPr>
        <w:t xml:space="preserve">• </w:t>
      </w:r>
      <w:r>
        <w:rPr>
          <w:sz w:val="16"/>
        </w:rPr>
        <w:t>Inform instructor of group composition via email by end of Week 3 for LMS records</w:t>
      </w:r>
    </w:p>
    <w:p>
      <w:pPr>
        <w:pStyle w:val="Heading2"/>
        <w:keepNext/>
        <w:spacing w:before="240" w:after="120"/>
      </w:pPr>
      <w:r>
        <w:rPr>
          <w:b/>
          <w:sz w:val="16"/>
        </w:rPr>
        <w:t>Participation Policy (10%)</w:t>
      </w:r>
    </w:p>
    <w:p>
      <w:pPr>
        <w:spacing w:before="0" w:after="120"/>
      </w:pPr>
      <w:r>
        <w:rPr>
          <w:b/>
          <w:sz w:val="16"/>
        </w:rPr>
        <w:t>Attendance (5%):</w:t>
      </w:r>
    </w:p>
    <w:p>
      <w:pPr>
        <w:spacing w:before="0" w:after="0" w:line="276" w:lineRule="auto"/>
        <w:ind w:left="283"/>
      </w:pPr>
      <w:r>
        <w:rPr>
          <w:sz w:val="20"/>
        </w:rPr>
        <w:t xml:space="preserve">• </w:t>
      </w:r>
      <w:r>
        <w:rPr>
          <w:sz w:val="16"/>
        </w:rPr>
        <w:t>Attendance is mandatory and taken within the first 10 minutes of each class</w:t>
      </w:r>
    </w:p>
    <w:p>
      <w:pPr>
        <w:spacing w:before="0" w:after="0" w:line="276" w:lineRule="auto"/>
        <w:ind w:left="283"/>
      </w:pPr>
      <w:r>
        <w:rPr>
          <w:sz w:val="20"/>
        </w:rPr>
        <w:t xml:space="preserve">• </w:t>
      </w:r>
      <w:r>
        <w:rPr>
          <w:sz w:val="16"/>
        </w:rPr>
        <w:t>Students arriving after attendance is marked absent</w:t>
      </w:r>
    </w:p>
    <w:p>
      <w:pPr>
        <w:spacing w:before="0" w:after="0" w:line="276" w:lineRule="auto"/>
        <w:ind w:left="283"/>
      </w:pPr>
      <w:r>
        <w:rPr>
          <w:sz w:val="20"/>
        </w:rPr>
        <w:t xml:space="preserve">• </w:t>
      </w:r>
      <w:r>
        <w:rPr>
          <w:sz w:val="16"/>
        </w:rPr>
        <w:t>2 absences allowed without penalty; each additional absence reduces participation grade</w:t>
      </w:r>
    </w:p>
    <w:p>
      <w:pPr>
        <w:spacing w:before="0" w:after="120"/>
      </w:pPr>
      <w:r>
        <w:rPr>
          <w:b/>
          <w:sz w:val="16"/>
        </w:rPr>
        <w:t>Active Participation (5%):</w:t>
      </w:r>
    </w:p>
    <w:p>
      <w:pPr>
        <w:spacing w:before="0" w:after="0" w:line="276" w:lineRule="auto"/>
        <w:ind w:left="283"/>
      </w:pPr>
      <w:r>
        <w:rPr>
          <w:sz w:val="20"/>
        </w:rPr>
        <w:t xml:space="preserve">• </w:t>
      </w:r>
      <w:r>
        <w:rPr>
          <w:sz w:val="16"/>
        </w:rPr>
        <w:t>Complete all in-class quizzes and activities</w:t>
      </w:r>
    </w:p>
    <w:p>
      <w:pPr>
        <w:spacing w:before="0" w:after="0" w:line="276" w:lineRule="auto"/>
        <w:ind w:left="283"/>
      </w:pPr>
      <w:r>
        <w:rPr>
          <w:sz w:val="20"/>
        </w:rPr>
        <w:t xml:space="preserve">• </w:t>
      </w:r>
      <w:r>
        <w:rPr>
          <w:sz w:val="16"/>
        </w:rPr>
        <w:t>Deductions for incomplete or missing in-class work</w:t>
      </w:r>
    </w:p>
    <w:p>
      <w:pPr>
        <w:spacing w:before="0" w:after="0" w:line="276" w:lineRule="auto"/>
        <w:ind w:left="283"/>
      </w:pPr>
      <w:r>
        <w:rPr>
          <w:sz w:val="20"/>
        </w:rPr>
        <w:t xml:space="preserve">• </w:t>
      </w:r>
      <w:r>
        <w:rPr>
          <w:sz w:val="16"/>
        </w:rPr>
        <w:t>Professional conduct during class sessions</w:t>
      </w:r>
    </w:p>
    <w:p>
      <w:pPr>
        <w:pStyle w:val="Heading2"/>
        <w:keepNext/>
        <w:spacing w:before="240" w:after="120"/>
      </w:pPr>
      <w:r>
        <w:rPr>
          <w:b/>
          <w:sz w:val="16"/>
        </w:rPr>
        <w:t>Academic Integrity</w:t>
      </w:r>
    </w:p>
    <w:p>
      <w:pPr>
        <w:spacing w:before="0" w:after="120"/>
      </w:pPr>
      <w:r>
        <w:rPr>
          <w:sz w:val="16"/>
        </w:rPr>
        <w:t>All students must maintain the highest standards of academic honesty. Violations include:</w:t>
      </w:r>
    </w:p>
    <w:p>
      <w:pPr>
        <w:spacing w:before="0" w:after="0" w:line="276" w:lineRule="auto"/>
        <w:ind w:left="283"/>
      </w:pPr>
      <w:r>
        <w:rPr>
          <w:sz w:val="20"/>
        </w:rPr>
        <w:t xml:space="preserve">• </w:t>
      </w:r>
      <w:r>
        <w:rPr>
          <w:b/>
          <w:sz w:val="16"/>
        </w:rPr>
        <w:t>Plagiarism:</w:t>
      </w:r>
      <w:r>
        <w:rPr>
          <w:sz w:val="16"/>
        </w:rPr>
        <w:t xml:space="preserve"> Using others' words or ideas without proper citation</w:t>
      </w:r>
    </w:p>
    <w:p>
      <w:pPr>
        <w:spacing w:before="0" w:after="0" w:line="276" w:lineRule="auto"/>
        <w:ind w:left="283"/>
      </w:pPr>
      <w:r>
        <w:rPr>
          <w:sz w:val="20"/>
        </w:rPr>
        <w:t xml:space="preserve">• </w:t>
      </w:r>
      <w:r>
        <w:rPr>
          <w:b/>
          <w:sz w:val="16"/>
        </w:rPr>
        <w:t>Cheating:</w:t>
      </w:r>
      <w:r>
        <w:rPr>
          <w:sz w:val="16"/>
        </w:rPr>
        <w:t xml:space="preserve"> Unauthorized collaboration or use of materials during assessments</w:t>
      </w:r>
    </w:p>
    <w:p>
      <w:pPr>
        <w:spacing w:before="0" w:after="0" w:line="276" w:lineRule="auto"/>
        <w:ind w:left="283"/>
      </w:pPr>
      <w:r>
        <w:rPr>
          <w:sz w:val="20"/>
        </w:rPr>
        <w:t xml:space="preserve">• </w:t>
      </w:r>
      <w:r>
        <w:rPr>
          <w:b/>
          <w:sz w:val="16"/>
        </w:rPr>
        <w:t>Fabrication:</w:t>
      </w:r>
      <w:r>
        <w:rPr>
          <w:sz w:val="16"/>
        </w:rPr>
        <w:t xml:space="preserve"> Making up data, sources, or information</w:t>
      </w:r>
    </w:p>
    <w:p>
      <w:pPr>
        <w:spacing w:before="0" w:after="120"/>
      </w:pPr>
      <w:r>
        <w:rPr>
          <w:b/>
          <w:sz w:val="16"/>
        </w:rPr>
        <w:t>Consequences:</w:t>
      </w:r>
      <w:r>
        <w:rPr>
          <w:sz w:val="16"/>
        </w:rPr>
        <w:t xml:space="preserve"> Violations will result in a zero on the assignment and possible failure of the course, plus referral to university disciplinary procedures.</w:t>
      </w:r>
    </w:p>
    <w:p>
      <w:pPr>
        <w:pStyle w:val="Heading1"/>
        <w:keepNext/>
        <w:spacing w:before="240" w:after="120"/>
      </w:pPr>
      <w:r>
        <w:rPr>
          <w:b/>
          <w:sz w:val="16"/>
        </w:rPr>
        <w:t>SUPPORT RESOURCES</w:t>
      </w:r>
    </w:p>
    <w:p>
      <w:pPr>
        <w:pStyle w:val="Heading2"/>
        <w:keepNext/>
        <w:spacing w:before="240" w:after="120"/>
      </w:pPr>
      <w:r>
        <w:rPr>
          <w:b/>
          <w:sz w:val="16"/>
        </w:rPr>
        <w:t>Writing Support</w:t>
      </w:r>
    </w:p>
    <w:p>
      <w:pPr>
        <w:spacing w:before="0" w:after="0" w:line="276" w:lineRule="auto"/>
        <w:ind w:left="283"/>
      </w:pPr>
      <w:r>
        <w:rPr>
          <w:sz w:val="20"/>
        </w:rPr>
        <w:t xml:space="preserve">• </w:t>
      </w:r>
      <w:r>
        <w:rPr>
          <w:sz w:val="16"/>
        </w:rPr>
        <w:t>Grammarly Education (free account): [www.grammarly.com/edu](http://www.grammarly.com/edu)</w:t>
      </w:r>
    </w:p>
    <w:p>
      <w:pPr>
        <w:spacing w:before="0" w:after="0" w:line="276" w:lineRule="auto"/>
        <w:ind w:left="283"/>
      </w:pPr>
      <w:r>
        <w:rPr>
          <w:sz w:val="20"/>
        </w:rPr>
        <w:t xml:space="preserve">• </w:t>
      </w:r>
      <w:r>
        <w:rPr>
          <w:sz w:val="16"/>
        </w:rPr>
        <w:t>APA Style Guide: apastyle.apa.org</w:t>
      </w:r>
    </w:p>
    <w:p>
      <w:pPr>
        <w:pStyle w:val="Heading2"/>
        <w:keepNext/>
        <w:spacing w:before="240" w:after="120"/>
      </w:pPr>
      <w:r>
        <w:rPr>
          <w:b/>
          <w:sz w:val="16"/>
        </w:rPr>
        <w:t>Presentation Resources</w:t>
      </w:r>
    </w:p>
    <w:p>
      <w:pPr>
        <w:spacing w:before="0" w:after="0" w:line="276" w:lineRule="auto"/>
        <w:ind w:left="283"/>
      </w:pPr>
      <w:r>
        <w:rPr>
          <w:sz w:val="20"/>
        </w:rPr>
        <w:t xml:space="preserve">• </w:t>
      </w:r>
      <w:r>
        <w:rPr>
          <w:sz w:val="16"/>
        </w:rPr>
        <w:t>Canva Education (free): [www.canva.com/education](http://www.canva.com/education)</w:t>
      </w:r>
    </w:p>
    <w:p>
      <w:pPr>
        <w:spacing w:before="0" w:after="0" w:line="276" w:lineRule="auto"/>
        <w:ind w:left="283"/>
      </w:pPr>
      <w:r>
        <w:rPr>
          <w:sz w:val="20"/>
        </w:rPr>
        <w:t xml:space="preserve">• </w:t>
      </w:r>
      <w:r>
        <w:rPr>
          <w:sz w:val="16"/>
        </w:rPr>
        <w:t>Loom (free screen recording): [www.loom.com](http://www.loom.com)</w:t>
      </w:r>
    </w:p>
    <w:p>
      <w:pPr>
        <w:spacing w:before="0" w:after="120"/>
      </w:pPr>
      <w:r>
        <w:rPr>
          <w:b/>
          <w:sz w:val="16"/>
        </w:rPr>
        <w:t>END OF SYLLABUS</w:t>
      </w:r>
    </w:p>
    <w:p>
      <w:pPr>
        <w:spacing w:before="0" w:after="120"/>
      </w:pPr>
      <w:r>
        <w:rPr>
          <w:b/>
          <w:sz w:val="16"/>
        </w:rPr>
        <w:t>Course Code:</w:t>
      </w:r>
      <w:r>
        <w:rPr>
          <w:sz w:val="16"/>
        </w:rPr>
        <w:t xml:space="preserve"> BCI2AU</w:t>
      </w:r>
    </w:p>
    <w:p>
      <w:pPr>
        <w:spacing w:before="0" w:after="120"/>
      </w:pPr>
      <w:r>
        <w:rPr>
          <w:b/>
          <w:sz w:val="16"/>
        </w:rPr>
        <w:t>Generated:</w:t>
      </w:r>
      <w:r>
        <w:rPr>
          <w:sz w:val="16"/>
        </w:rPr>
        <w:t xml:space="preserve"> November 28, 2025</w:t>
      </w:r>
    </w:p>
    <w:p>
      <w:pPr>
        <w:spacing w:before="0" w:after="120"/>
      </w:pPr>
      <w:r>
        <w:rPr>
          <w:b/>
          <w:sz w:val="16"/>
        </w:rPr>
        <w:t>Syllabus Version:</w:t>
      </w:r>
      <w:r>
        <w:rPr>
          <w:sz w:val="16"/>
        </w:rPr>
        <w:t xml:space="preserve"> 2.0</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