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keepNext/>
        <w:spacing w:before="240" w:after="120"/>
      </w:pPr>
      <w:r>
        <w:rPr>
          <w:sz w:val="16"/>
        </w:rPr>
        <w:t>Tutorial Facilitation Guide</w:t>
      </w:r>
    </w:p>
    <w:p>
      <w:pPr>
        <w:pStyle w:val="Heading2"/>
        <w:keepNext/>
        <w:spacing w:before="240" w:after="120"/>
      </w:pPr>
      <w:r>
        <w:rPr>
          <w:sz w:val="16"/>
        </w:rPr>
        <w:t>Business Communication I (BCI2AU)</w:t>
      </w:r>
    </w:p>
    <w:p>
      <w:pPr>
        <w:pStyle w:val="Heading2"/>
        <w:keepNext/>
        <w:spacing w:before="240" w:after="120"/>
      </w:pPr>
      <w:r>
        <w:rPr>
          <w:sz w:val="16"/>
        </w:rPr>
        <w:t>What This Guide Is About</w:t>
      </w:r>
    </w:p>
    <w:p>
      <w:pPr>
        <w:spacing w:before="0" w:after="120"/>
      </w:pPr>
      <w:r>
        <w:rPr>
          <w:sz w:val="16"/>
        </w:rPr>
        <w:t>Your role as a tutor is about guiding students to think critically and develop professional skills—capabilities they'll use throughout their careers. This guide shares practical approaches that work well in tutorials, but remember: you'll develop your own style as you gain experience. Think of these as helpful starting points rather than strict rules.</w:t>
      </w:r>
    </w:p>
    <w:p>
      <w:pPr>
        <w:pStyle w:val="Heading2"/>
        <w:keepNext/>
        <w:spacing w:before="240" w:after="120"/>
      </w:pPr>
      <w:r>
        <w:rPr>
          <w:sz w:val="16"/>
        </w:rPr>
        <w:t>Your Core Purpose: Build Thinking Skills and Confidence</w:t>
      </w:r>
    </w:p>
    <w:p>
      <w:pPr>
        <w:spacing w:before="0" w:after="120"/>
      </w:pPr>
      <w:r>
        <w:rPr>
          <w:sz w:val="16"/>
        </w:rPr>
        <w:t>The most effective tutors focus on three things: helping students learn how to learn, building their confidence, and connecting what they study to real professional contexts. Everything else flows from these priorities.</w:t>
      </w:r>
    </w:p>
    <w:p>
      <w:pPr>
        <w:pStyle w:val="Heading3"/>
        <w:keepNext/>
        <w:spacing w:before="240" w:after="120"/>
      </w:pPr>
      <w:r>
        <w:rPr>
          <w:sz w:val="16"/>
        </w:rPr>
        <w:t>Why Communication Shapes Everything</w:t>
      </w:r>
    </w:p>
    <w:p>
      <w:pPr>
        <w:spacing w:before="0" w:after="120"/>
      </w:pPr>
      <w:r>
        <w:rPr>
          <w:sz w:val="16"/>
        </w:rPr>
        <w:t>How you communicate shapes everything else in your tutorials. Students will mirror your energy and openness, so your behavior sets the tone.</w:t>
      </w:r>
    </w:p>
    <w:p>
      <w:pPr>
        <w:spacing w:before="0" w:after="120"/>
      </w:pPr>
      <w:r>
        <w:rPr>
          <w:b/>
          <w:sz w:val="16"/>
        </w:rPr>
        <w:t>What your body language conveys:</w:t>
      </w:r>
    </w:p>
    <w:p>
      <w:pPr>
        <w:spacing w:before="0" w:after="120"/>
      </w:pPr>
      <w:r>
        <w:rPr>
          <w:sz w:val="16"/>
        </w:rPr>
        <w:t>Students notice whether you're genuinely engaged. Open posture, appropriate eye contact, and nodding encouragement all signal that you're listening. On the flip side, crossed arms, looking at your phone, or fidgeting can create distance. Think about what your non-verbal cues are saying.</w:t>
      </w:r>
    </w:p>
    <w:p>
      <w:pPr>
        <w:spacing w:before="0" w:after="120"/>
      </w:pPr>
      <w:r>
        <w:rPr>
          <w:b/>
          <w:sz w:val="16"/>
        </w:rPr>
        <w:t>The pause matters more than you think:</w:t>
      </w:r>
    </w:p>
    <w:p>
      <w:pPr>
        <w:spacing w:before="0" w:after="120"/>
      </w:pPr>
      <w:r>
        <w:rPr>
          <w:sz w:val="16"/>
        </w:rPr>
        <w:t>After asking a question, pause for at least 5-7 seconds. This feels uncomfortably long at first, but it's especially important for students working in a second language. Most tutors only wait 1-2 seconds before jumping in—resist this urge. The quality of responses improves dramatically when you give genuine thinking time.</w:t>
      </w:r>
    </w:p>
    <w:p>
      <w:pPr>
        <w:pStyle w:val="Heading3"/>
        <w:keepNext/>
        <w:spacing w:before="240" w:after="120"/>
      </w:pPr>
      <w:r>
        <w:rPr>
          <w:sz w:val="16"/>
        </w:rPr>
        <w:t>Building Real Connections</w:t>
      </w:r>
    </w:p>
    <w:p>
      <w:pPr>
        <w:spacing w:before="0" w:after="120"/>
      </w:pPr>
      <w:r>
        <w:rPr>
          <w:sz w:val="16"/>
        </w:rPr>
        <w:t>Students learn best when they feel comfortable, and comfort comes from authentic relationships.</w:t>
      </w:r>
    </w:p>
    <w:p>
      <w:pPr>
        <w:spacing w:before="0" w:after="120"/>
      </w:pPr>
      <w:r>
        <w:rPr>
          <w:b/>
          <w:sz w:val="16"/>
        </w:rPr>
        <w:t>Share your own struggles:</w:t>
      </w:r>
    </w:p>
    <w:p>
      <w:pPr>
        <w:spacing w:before="0" w:after="120"/>
      </w:pPr>
      <w:r>
        <w:rPr>
          <w:sz w:val="16"/>
        </w:rPr>
        <w:t>When you share your own learning experiences—including struggles you've faced—it normalizes difficulty as part of the process. Being honest when you don't know something immediately also builds trust; you can figure it out together.</w:t>
      </w:r>
    </w:p>
    <w:p>
      <w:pPr>
        <w:spacing w:before="0" w:after="120"/>
      </w:pPr>
      <w:r>
        <w:rPr>
          <w:b/>
          <w:sz w:val="16"/>
        </w:rPr>
        <w:t>Celebrate effort over correctness:</w:t>
      </w:r>
    </w:p>
    <w:p>
      <w:pPr>
        <w:spacing w:before="0" w:after="120"/>
      </w:pPr>
      <w:r>
        <w:rPr>
          <w:sz w:val="16"/>
        </w:rPr>
        <w:t>When students see that effort matters more than getting everything right immediately, they're more willing to engage. This seemingly small shift in what you acknowledge transforms participation.</w:t>
      </w:r>
    </w:p>
    <w:p>
      <w:pPr>
        <w:pStyle w:val="Heading3"/>
        <w:keepNext/>
        <w:spacing w:before="240" w:after="120"/>
      </w:pPr>
      <w:r>
        <w:rPr>
          <w:sz w:val="16"/>
        </w:rPr>
        <w:t>Working with the Teaching Team</w:t>
      </w:r>
    </w:p>
    <w:p>
      <w:pPr>
        <w:spacing w:before="0" w:after="120"/>
      </w:pPr>
      <w:r>
        <w:rPr>
          <w:sz w:val="16"/>
        </w:rPr>
        <w:t>You're part of a larger team, and staying connected with colleagues makes everyone more effective.</w:t>
      </w:r>
    </w:p>
    <w:p>
      <w:pPr>
        <w:spacing w:before="0" w:after="120"/>
      </w:pPr>
      <w:r>
        <w:rPr>
          <w:b/>
          <w:sz w:val="16"/>
        </w:rPr>
        <w:t>Set up regular meetings with the module leader:</w:t>
      </w:r>
    </w:p>
    <w:p>
      <w:pPr>
        <w:spacing w:before="0" w:after="120"/>
      </w:pPr>
      <w:r>
        <w:rPr>
          <w:sz w:val="16"/>
        </w:rPr>
        <w:t>Weekly or fortnightly meetings create a rhythm for sharing insights and getting support. These aren't just check-ins—they're your opportunity to discuss what's working, what's challenging, and how students are progressing. Book these at the start of the semester rather than trying to arrange them week by week.</w:t>
      </w:r>
    </w:p>
    <w:p>
      <w:pPr>
        <w:spacing w:before="0" w:after="120"/>
      </w:pPr>
      <w:r>
        <w:rPr>
          <w:b/>
          <w:sz w:val="16"/>
        </w:rPr>
        <w:t>You're the quality assurance system:</w:t>
      </w:r>
    </w:p>
    <w:p>
      <w:pPr>
        <w:spacing w:before="0" w:after="120"/>
      </w:pPr>
      <w:r>
        <w:rPr>
          <w:sz w:val="16"/>
        </w:rPr>
        <w:t>You'll often be the first to notice when instructions are unclear or activities don't work as planned. When you spot these issues—whether it's an ambiguous quiz question or an activity that takes longer than expected—let the module leader know promptly with specific examples. Your front-line experience is valuable feedback that improves the course for everyone.</w:t>
      </w:r>
    </w:p>
    <w:p>
      <w:pPr>
        <w:spacing w:before="0" w:after="120"/>
      </w:pPr>
      <w:r>
        <w:rPr>
          <w:b/>
          <w:sz w:val="16"/>
        </w:rPr>
        <w:t>Session logs reveal patterns:</w:t>
      </w:r>
    </w:p>
    <w:p>
      <w:pPr>
        <w:spacing w:before="0" w:after="120"/>
      </w:pPr>
      <w:r>
        <w:rPr>
          <w:sz w:val="16"/>
        </w:rPr>
        <w:t>Note what worked well, what challenged students, and any material issues you encountered. After 3-4 weeks, patterns become visible that aren't obvious in individual sessions.</w:t>
      </w:r>
    </w:p>
    <w:p>
      <w:pPr>
        <w:pStyle w:val="Heading2"/>
        <w:keepNext/>
        <w:spacing w:before="240" w:after="120"/>
      </w:pPr>
      <w:r>
        <w:rPr>
          <w:sz w:val="16"/>
        </w:rPr>
        <w:t>Helping Students Become Independent Learners</w:t>
      </w:r>
    </w:p>
    <w:p>
      <w:pPr>
        <w:spacing w:before="0" w:after="120"/>
      </w:pPr>
      <w:r>
        <w:rPr>
          <w:sz w:val="16"/>
        </w:rPr>
        <w:t>Your ultimate goal is to work yourself out of a job—in the best way. You want students to develop the skills and confidence to solve problems on their own.</w:t>
      </w:r>
    </w:p>
    <w:p>
      <w:pPr>
        <w:pStyle w:val="Heading3"/>
        <w:keepNext/>
        <w:spacing w:before="240" w:after="120"/>
      </w:pPr>
      <w:r>
        <w:rPr>
          <w:sz w:val="16"/>
        </w:rPr>
        <w:t>The Gradual Release Approach</w:t>
      </w:r>
    </w:p>
    <w:p>
      <w:pPr>
        <w:spacing w:before="0" w:after="120"/>
      </w:pPr>
      <w:r>
        <w:rPr>
          <w:sz w:val="16"/>
        </w:rPr>
        <w:t>Think of learning as a gradual handover of responsibility. You start with more support and slowly reduce it as students build confidence.</w:t>
      </w:r>
    </w:p>
    <w:p>
      <w:pPr>
        <w:spacing w:before="0" w:after="120"/>
      </w:pPr>
      <w:r>
        <w:rPr>
          <w:b/>
          <w:sz w:val="16"/>
        </w:rPr>
        <w:t>I do (You demonstrate):</w:t>
      </w:r>
    </w:p>
    <w:p>
      <w:pPr>
        <w:spacing w:before="0" w:after="120"/>
      </w:pPr>
      <w:r>
        <w:rPr>
          <w:sz w:val="16"/>
        </w:rPr>
        <w:t>Talk through your thinking process aloud so students can see how you break down tasks, consider options, and make decisions. This transparency about thinking is often more valuable than just showing the answer. Say things like: "I'm noticing a contradiction here, so I'm going to..." or "My first instinct is X, but let me check if..."</w:t>
      </w:r>
    </w:p>
    <w:p>
      <w:pPr>
        <w:spacing w:before="0" w:after="120"/>
      </w:pPr>
      <w:r>
        <w:rPr>
          <w:b/>
          <w:sz w:val="16"/>
        </w:rPr>
        <w:t>We do (You work together):</w:t>
      </w:r>
    </w:p>
    <w:p>
      <w:pPr>
        <w:spacing w:before="0" w:after="120"/>
      </w:pPr>
      <w:r>
        <w:rPr>
          <w:sz w:val="16"/>
        </w:rPr>
        <w:t>Ask questions rather than giving answers. Encourage students to explain their reasoning—this helps you understand their thinking and helps them clarify their own ideas. When they explain incorrectly, ask "Can you walk me through why you think that?" rather than immediately correcting. Often they'll catch their own error.</w:t>
      </w:r>
    </w:p>
    <w:p>
      <w:pPr>
        <w:spacing w:before="0" w:after="120"/>
      </w:pPr>
      <w:r>
        <w:rPr>
          <w:b/>
          <w:sz w:val="16"/>
        </w:rPr>
        <w:t>You do (They work independently):</w:t>
      </w:r>
    </w:p>
    <w:p>
      <w:pPr>
        <w:spacing w:before="0" w:after="120"/>
      </w:pPr>
      <w:r>
        <w:rPr>
          <w:sz w:val="16"/>
        </w:rPr>
        <w:t>Observe without jumping in immediately. Many tutors intervene too quickly when they see students struggling. Wait until students have genuinely tried multiple approaches—the productive struggle is where learning happens.</w:t>
      </w:r>
    </w:p>
    <w:p>
      <w:pPr>
        <w:spacing w:before="0" w:after="120"/>
      </w:pPr>
      <w:r>
        <w:rPr>
          <w:sz w:val="16"/>
        </w:rPr>
        <w:t>The key is moving through these stages at the right pace—not too fast (which creates anxiety) or too slow (which creates dependency).</w:t>
      </w:r>
    </w:p>
    <w:p>
      <w:pPr>
        <w:pStyle w:val="Heading3"/>
        <w:keepNext/>
        <w:spacing w:before="240" w:after="120"/>
      </w:pPr>
      <w:r>
        <w:rPr>
          <w:sz w:val="16"/>
        </w:rPr>
        <w:t>Using Questions to Develop Thinking</w:t>
      </w:r>
    </w:p>
    <w:p>
      <w:pPr>
        <w:spacing w:before="0" w:after="120"/>
      </w:pPr>
      <w:r>
        <w:rPr>
          <w:sz w:val="16"/>
        </w:rPr>
        <w:t>Questions are your most powerful tool. They reveal what students understand and push them to think more deeply.</w:t>
      </w:r>
    </w:p>
    <w:p>
      <w:pPr>
        <w:spacing w:before="0" w:after="120"/>
      </w:pPr>
      <w:r>
        <w:rPr>
          <w:b/>
          <w:sz w:val="16"/>
        </w:rPr>
        <w:t>Instead of answering a question directly:</w:t>
      </w:r>
    </w:p>
    <w:p>
      <w:pPr>
        <w:spacing w:before="0" w:after="120"/>
      </w:pPr>
      <w:r>
        <w:rPr>
          <w:sz w:val="16"/>
        </w:rPr>
        <w:t>Try asking: "What approach might work here?" or "Why did you choose that method?" These questions prompt students to think through problems themselves. You're helping them develop their own problem-solving process.</w:t>
      </w:r>
    </w:p>
    <w:p>
      <w:pPr>
        <w:spacing w:before="0" w:after="120"/>
      </w:pPr>
      <w:r>
        <w:rPr>
          <w:b/>
          <w:sz w:val="16"/>
        </w:rPr>
        <w:t>The "explain it to a confused peer" technique:</w:t>
      </w:r>
    </w:p>
    <w:p>
      <w:pPr>
        <w:spacing w:before="0" w:after="120"/>
      </w:pPr>
      <w:r>
        <w:rPr>
          <w:sz w:val="16"/>
        </w:rPr>
        <w:t>When students give a correct answer but you're not sure they understand why, ask: "How would you explain this to someone in the class who's confused?" This reveals depth of understanding better than "Is that right?" or "Are you sure?"</w:t>
      </w:r>
    </w:p>
    <w:p>
      <w:pPr>
        <w:spacing w:before="0" w:after="120"/>
      </w:pPr>
      <w:r>
        <w:rPr>
          <w:b/>
          <w:sz w:val="16"/>
        </w:rPr>
        <w:t>Questions for different thinking levels:</w:t>
      </w:r>
    </w:p>
    <w:p>
      <w:pPr>
        <w:spacing w:before="0" w:after="0" w:line="276" w:lineRule="auto"/>
        <w:ind w:left="283"/>
      </w:pPr>
      <w:r>
        <w:rPr>
          <w:sz w:val="20"/>
        </w:rPr>
        <w:t xml:space="preserve">• </w:t>
      </w:r>
      <w:r>
        <w:rPr>
          <w:sz w:val="16"/>
        </w:rPr>
        <w:t>When students need to recall information: "What are the key components of effective business communication?"</w:t>
      </w:r>
    </w:p>
    <w:p>
      <w:pPr>
        <w:spacing w:before="0" w:after="0" w:line="276" w:lineRule="auto"/>
        <w:ind w:left="283"/>
      </w:pPr>
      <w:r>
        <w:rPr>
          <w:sz w:val="20"/>
        </w:rPr>
        <w:t xml:space="preserve">• </w:t>
      </w:r>
      <w:r>
        <w:rPr>
          <w:sz w:val="16"/>
        </w:rPr>
        <w:t>To check understanding: "Can you explain this concept in your own words?"</w:t>
      </w:r>
    </w:p>
    <w:p>
      <w:pPr>
        <w:spacing w:before="0" w:after="0" w:line="276" w:lineRule="auto"/>
        <w:ind w:left="283"/>
      </w:pPr>
      <w:r>
        <w:rPr>
          <w:sz w:val="20"/>
        </w:rPr>
        <w:t xml:space="preserve">• </w:t>
      </w:r>
      <w:r>
        <w:rPr>
          <w:sz w:val="16"/>
        </w:rPr>
        <w:t>To apply concepts: "How would you handle this situation in a real workplace?"</w:t>
      </w:r>
    </w:p>
    <w:p>
      <w:pPr>
        <w:spacing w:before="0" w:after="0" w:line="276" w:lineRule="auto"/>
        <w:ind w:left="283"/>
      </w:pPr>
      <w:r>
        <w:rPr>
          <w:sz w:val="20"/>
        </w:rPr>
        <w:t xml:space="preserve">• </w:t>
      </w:r>
      <w:r>
        <w:rPr>
          <w:sz w:val="16"/>
        </w:rPr>
        <w:t>For deeper analysis: "What patterns do you notice? How do these elements connect?"</w:t>
      </w:r>
    </w:p>
    <w:p>
      <w:pPr>
        <w:spacing w:before="0" w:after="0" w:line="276" w:lineRule="auto"/>
        <w:ind w:left="283"/>
      </w:pPr>
      <w:r>
        <w:rPr>
          <w:sz w:val="20"/>
        </w:rPr>
        <w:t xml:space="preserve">• </w:t>
      </w:r>
      <w:r>
        <w:rPr>
          <w:sz w:val="16"/>
        </w:rPr>
        <w:t>To evaluate options: "Which approach seems most effective? What's your reasoning?"</w:t>
      </w:r>
    </w:p>
    <w:p>
      <w:pPr>
        <w:spacing w:before="0" w:after="0" w:line="276" w:lineRule="auto"/>
        <w:ind w:left="283"/>
      </w:pPr>
      <w:r>
        <w:rPr>
          <w:sz w:val="20"/>
        </w:rPr>
        <w:t xml:space="preserve">• </w:t>
      </w:r>
      <w:r>
        <w:rPr>
          <w:sz w:val="16"/>
        </w:rPr>
        <w:t>To generate new ideas: "How might you design a solution for this scenario?"</w:t>
      </w:r>
    </w:p>
    <w:p>
      <w:pPr>
        <w:spacing w:before="0" w:after="120"/>
      </w:pPr>
      <w:r>
        <w:rPr>
          <w:sz w:val="16"/>
        </w:rPr>
        <w:t>Move beyond simple recall toward analysis, evaluation, and creation—the thinking skills that matter most in professional contexts.</w:t>
      </w:r>
    </w:p>
    <w:p>
      <w:pPr>
        <w:pStyle w:val="Heading3"/>
        <w:keepNext/>
        <w:spacing w:before="240" w:after="120"/>
      </w:pPr>
      <w:r>
        <w:rPr>
          <w:sz w:val="16"/>
        </w:rPr>
        <w:t>Encouraging Student Ownership</w:t>
      </w:r>
    </w:p>
    <w:p>
      <w:pPr>
        <w:spacing w:before="0" w:after="120"/>
      </w:pPr>
      <w:r>
        <w:rPr>
          <w:sz w:val="16"/>
        </w:rPr>
        <w:t>Help students take charge of their own learning.</w:t>
      </w:r>
    </w:p>
    <w:p>
      <w:pPr>
        <w:spacing w:before="0" w:after="120"/>
      </w:pPr>
      <w:r>
        <w:rPr>
          <w:b/>
          <w:sz w:val="16"/>
        </w:rPr>
        <w:t>Supporting prioritization:</w:t>
      </w:r>
    </w:p>
    <w:p>
      <w:pPr>
        <w:spacing w:before="0" w:after="120"/>
      </w:pPr>
      <w:r>
        <w:rPr>
          <w:sz w:val="16"/>
        </w:rPr>
        <w:t>Rather than telling students what to work on, ask them to identify what's most important and why. Questions like "What should we focus on today?" or "Which task would help you most right now?" encourage them to think strategically about their work.</w:t>
      </w:r>
    </w:p>
    <w:p>
      <w:pPr>
        <w:spacing w:before="0" w:after="120"/>
      </w:pPr>
      <w:r>
        <w:rPr>
          <w:b/>
          <w:sz w:val="16"/>
        </w:rPr>
        <w:t>Building self-assessment skills:</w:t>
      </w:r>
    </w:p>
    <w:p>
      <w:pPr>
        <w:spacing w:before="0" w:after="120"/>
      </w:pPr>
      <w:r>
        <w:rPr>
          <w:sz w:val="16"/>
        </w:rPr>
        <w:t>Before you give feedback, ask students to evaluate their own work. "What do you think works well here? What might you improve?" This develops their judgment and makes them less dependent on external validation. The self-assessment skill transfers directly to professional contexts where they won't always have supervisors reviewing their work.</w:t>
      </w:r>
    </w:p>
    <w:p>
      <w:pPr>
        <w:pStyle w:val="Heading2"/>
        <w:keepNext/>
        <w:spacing w:before="240" w:after="120"/>
      </w:pPr>
      <w:r>
        <w:rPr>
          <w:sz w:val="16"/>
        </w:rPr>
        <w:t>Making Tutorials Work Well</w:t>
      </w:r>
    </w:p>
    <w:p>
      <w:pPr>
        <w:spacing w:before="0" w:after="120"/>
      </w:pPr>
      <w:r>
        <w:rPr>
          <w:sz w:val="16"/>
        </w:rPr>
        <w:t>Some practical approaches help create effective, engaging sessions.</w:t>
      </w:r>
    </w:p>
    <w:p>
      <w:pPr>
        <w:pStyle w:val="Heading3"/>
        <w:keepNext/>
        <w:spacing w:before="240" w:after="120"/>
      </w:pPr>
      <w:r>
        <w:rPr>
          <w:sz w:val="16"/>
        </w:rPr>
        <w:t>Preparing for Each Session</w:t>
      </w:r>
    </w:p>
    <w:p>
      <w:pPr>
        <w:spacing w:before="0" w:after="120"/>
      </w:pPr>
      <w:r>
        <w:rPr>
          <w:b/>
          <w:sz w:val="16"/>
        </w:rPr>
        <w:t>Work through the materials yourself:</w:t>
      </w:r>
    </w:p>
    <w:p>
      <w:pPr>
        <w:spacing w:before="0" w:after="120"/>
      </w:pPr>
      <w:r>
        <w:rPr>
          <w:sz w:val="16"/>
        </w:rPr>
        <w:t>Before each tutorial, complete all the activities and quizzes from a student's perspective. This is not optional. You'll discover issues that aren't obvious until you actually work through them: ambiguous instructions, questions that could be interpreted multiple ways, activities that take much longer than expected.</w:t>
      </w:r>
    </w:p>
    <w:p>
      <w:pPr>
        <w:spacing w:before="0" w:after="120"/>
      </w:pPr>
      <w:r>
        <w:rPr>
          <w:b/>
          <w:sz w:val="16"/>
        </w:rPr>
        <w:t>What to document as you prepare:</w:t>
      </w:r>
    </w:p>
    <w:p>
      <w:pPr>
        <w:spacing w:before="0" w:after="0" w:line="276" w:lineRule="auto"/>
        <w:ind w:left="283"/>
      </w:pPr>
      <w:r>
        <w:rPr>
          <w:sz w:val="20"/>
        </w:rPr>
        <w:t xml:space="preserve">• </w:t>
      </w:r>
      <w:r>
        <w:rPr>
          <w:sz w:val="16"/>
        </w:rPr>
        <w:t>Anything unclear or potentially confusing</w:t>
      </w:r>
    </w:p>
    <w:p>
      <w:pPr>
        <w:spacing w:before="0" w:after="0" w:line="276" w:lineRule="auto"/>
        <w:ind w:left="283"/>
      </w:pPr>
      <w:r>
        <w:rPr>
          <w:sz w:val="20"/>
        </w:rPr>
        <w:t xml:space="preserve">• </w:t>
      </w:r>
      <w:r>
        <w:rPr>
          <w:sz w:val="16"/>
        </w:rPr>
        <w:t>How long each activity actually takes (vs. what's stated)</w:t>
      </w:r>
    </w:p>
    <w:p>
      <w:pPr>
        <w:spacing w:before="0" w:after="0" w:line="276" w:lineRule="auto"/>
        <w:ind w:left="283"/>
      </w:pPr>
      <w:r>
        <w:rPr>
          <w:sz w:val="20"/>
        </w:rPr>
        <w:t xml:space="preserve">• </w:t>
      </w:r>
      <w:r>
        <w:rPr>
          <w:sz w:val="16"/>
        </w:rPr>
        <w:t>Points where students will likely struggle</w:t>
      </w:r>
    </w:p>
    <w:p>
      <w:pPr>
        <w:spacing w:before="0" w:after="0" w:line="276" w:lineRule="auto"/>
        <w:ind w:left="283"/>
      </w:pPr>
      <w:r>
        <w:rPr>
          <w:sz w:val="20"/>
        </w:rPr>
        <w:t xml:space="preserve">• </w:t>
      </w:r>
      <w:r>
        <w:rPr>
          <w:sz w:val="16"/>
        </w:rPr>
        <w:t>Clarifications you'll need to prepare for complex concepts</w:t>
      </w:r>
    </w:p>
    <w:p>
      <w:pPr>
        <w:spacing w:before="0" w:after="120"/>
      </w:pPr>
      <w:r>
        <w:rPr>
          <w:b/>
          <w:sz w:val="16"/>
        </w:rPr>
        <w:t>Review previous session notes:</w:t>
      </w:r>
    </w:p>
    <w:p>
      <w:pPr>
        <w:spacing w:before="0" w:after="120"/>
      </w:pPr>
      <w:r>
        <w:rPr>
          <w:sz w:val="16"/>
        </w:rPr>
        <w:t>What did you cover? Where did students struggle? What should you follow up on? This continuity matters more than students realize—it shows you remember their specific challenges and progress.</w:t>
      </w:r>
    </w:p>
    <w:p>
      <w:pPr>
        <w:pStyle w:val="Heading3"/>
        <w:keepNext/>
        <w:spacing w:before="240" w:after="120"/>
      </w:pPr>
      <w:r>
        <w:rPr>
          <w:sz w:val="16"/>
        </w:rPr>
        <w:t>During Sessions</w:t>
      </w:r>
    </w:p>
    <w:p>
      <w:pPr>
        <w:spacing w:before="0" w:after="120"/>
      </w:pPr>
      <w:r>
        <w:rPr>
          <w:b/>
          <w:sz w:val="16"/>
        </w:rPr>
        <w:t>Name the confusion explicitly:</w:t>
      </w:r>
    </w:p>
    <w:p>
      <w:pPr>
        <w:spacing w:before="0" w:after="120"/>
      </w:pPr>
      <w:r>
        <w:rPr>
          <w:sz w:val="16"/>
        </w:rPr>
        <w:t>When you notice several students struggling with the same concept, name it: "This is a point where many people get confused—you're not alone in finding this tricky." This simple acknowledgment reduces anxiety and helps students push through difficulty.</w:t>
      </w:r>
    </w:p>
    <w:p>
      <w:pPr>
        <w:spacing w:before="0" w:after="120"/>
      </w:pPr>
      <w:r>
        <w:rPr>
          <w:b/>
          <w:sz w:val="16"/>
        </w:rPr>
        <w:t>The "I see you need help" acknowledgment works:</w:t>
      </w:r>
    </w:p>
    <w:p>
      <w:pPr>
        <w:spacing w:before="0" w:after="120"/>
      </w:pPr>
      <w:r>
        <w:rPr>
          <w:sz w:val="16"/>
        </w:rPr>
        <w:t>When you can't help someone immediately, acknowledge them: "I see you need help; I'll be with you shortly." This simple recognition often helps students move forward on their own rather than waiting passively.</w:t>
      </w:r>
    </w:p>
    <w:p>
      <w:pPr>
        <w:spacing w:before="0" w:after="120"/>
      </w:pPr>
      <w:r>
        <w:rPr>
          <w:b/>
          <w:sz w:val="16"/>
        </w:rPr>
        <w:t>Monitor your air time:</w:t>
      </w:r>
    </w:p>
    <w:p>
      <w:pPr>
        <w:spacing w:before="0" w:after="120"/>
      </w:pPr>
      <w:r>
        <w:rPr>
          <w:sz w:val="16"/>
        </w:rPr>
        <w:t>In a 60-minute tutorial, students should be talking/working at least 45 minutes. If you're talking more than 15 minutes total, you're probably explaining too much rather than facilitating learning.</w:t>
      </w:r>
    </w:p>
    <w:p>
      <w:pPr>
        <w:pStyle w:val="Heading3"/>
        <w:keepNext/>
        <w:spacing w:before="240" w:after="120"/>
      </w:pPr>
      <w:r>
        <w:rPr>
          <w:sz w:val="16"/>
        </w:rPr>
        <w:t>After Sessions</w:t>
      </w:r>
    </w:p>
    <w:p>
      <w:pPr>
        <w:spacing w:before="0" w:after="120"/>
      </w:pPr>
      <w:r>
        <w:rPr>
          <w:b/>
          <w:sz w:val="16"/>
        </w:rPr>
        <w:t>The 2-minute post-session record:</w:t>
      </w:r>
    </w:p>
    <w:p>
      <w:pPr>
        <w:spacing w:before="0" w:after="120"/>
      </w:pPr>
      <w:r>
        <w:rPr>
          <w:sz w:val="16"/>
        </w:rPr>
        <w:t>Immediately after each session, take 2 minutes to note: (1) what you covered, (2) one thing that worked well, (3) one challenge, (4) any material issues. These brief notes become invaluable after several weeks when patterns emerge.</w:t>
      </w:r>
    </w:p>
    <w:p>
      <w:pPr>
        <w:pStyle w:val="Heading3"/>
        <w:keepNext/>
        <w:spacing w:before="240" w:after="120"/>
      </w:pPr>
      <w:r>
        <w:rPr>
          <w:sz w:val="16"/>
        </w:rPr>
        <w:t>Adapting to Different Situations</w:t>
      </w:r>
    </w:p>
    <w:p>
      <w:pPr>
        <w:spacing w:before="0" w:after="120"/>
      </w:pPr>
      <w:r>
        <w:rPr>
          <w:b/>
          <w:sz w:val="16"/>
        </w:rPr>
        <w:t>When students struggle—the scaffolding principle:</w:t>
      </w:r>
    </w:p>
    <w:p>
      <w:pPr>
        <w:spacing w:before="0" w:after="120"/>
      </w:pPr>
      <w:r>
        <w:rPr>
          <w:sz w:val="16"/>
        </w:rPr>
        <w:t>Provide temporary support you can remove as they gain confidence. For example: first time through a task, work alongside them. Second time, provide a checklist. Third time, just the first step. Fourth time, they're independent. Make the scaffolding removal explicit: "Last week I gave you the outline, this week let's see if you can create it yourself."</w:t>
      </w:r>
    </w:p>
    <w:p>
      <w:pPr>
        <w:spacing w:before="0" w:after="120"/>
      </w:pPr>
      <w:r>
        <w:rPr>
          <w:b/>
          <w:sz w:val="16"/>
        </w:rPr>
        <w:t>When students excel:</w:t>
      </w:r>
    </w:p>
    <w:p>
      <w:pPr>
        <w:spacing w:before="0" w:after="120"/>
      </w:pPr>
      <w:r>
        <w:rPr>
          <w:sz w:val="16"/>
        </w:rPr>
        <w:t>Have them help explain concepts to peers. Students sometimes explain things to each other more effectively than we can—they remember what was confusing and use language that resonates. This also develops their communication skills.</w:t>
      </w:r>
    </w:p>
    <w:p>
      <w:pPr>
        <w:spacing w:before="0" w:after="120"/>
      </w:pPr>
      <w:r>
        <w:rPr>
          <w:b/>
          <w:sz w:val="16"/>
        </w:rPr>
        <w:t>Managing different paces:</w:t>
      </w:r>
    </w:p>
    <w:p>
      <w:pPr>
        <w:spacing w:before="0" w:after="120"/>
      </w:pPr>
      <w:r>
        <w:rPr>
          <w:sz w:val="16"/>
        </w:rPr>
        <w:t>The student who finishes early often hasn't done the work as thoroughly as you'd like. Before providing extension activities, ask them to review their work: "Walk me through how you approached this." Often they'll identify gaps themselves.</w:t>
      </w:r>
    </w:p>
    <w:p>
      <w:pPr>
        <w:pStyle w:val="Heading2"/>
        <w:keepNext/>
        <w:spacing w:before="240" w:after="120"/>
      </w:pPr>
      <w:r>
        <w:rPr>
          <w:sz w:val="16"/>
        </w:rPr>
        <w:t>Connecting to Professional Skills</w:t>
      </w:r>
    </w:p>
    <w:p>
      <w:pPr>
        <w:spacing w:before="0" w:after="120"/>
      </w:pPr>
      <w:r>
        <w:rPr>
          <w:sz w:val="16"/>
        </w:rPr>
        <w:t>Every tutorial is an opportunity to develop capabilities that matter in the workplace.</w:t>
      </w:r>
    </w:p>
    <w:p>
      <w:pPr>
        <w:pStyle w:val="Heading3"/>
        <w:keepNext/>
        <w:spacing w:before="240" w:after="120"/>
      </w:pPr>
      <w:r>
        <w:rPr>
          <w:sz w:val="16"/>
        </w:rPr>
        <w:t>The Skills That Transfer</w:t>
      </w:r>
    </w:p>
    <w:p>
      <w:pPr>
        <w:spacing w:before="0" w:after="120"/>
      </w:pPr>
      <w:r>
        <w:rPr>
          <w:b/>
          <w:sz w:val="16"/>
        </w:rPr>
        <w:t>Critical thinking:</w:t>
      </w:r>
    </w:p>
    <w:p>
      <w:pPr>
        <w:spacing w:before="0" w:after="120"/>
      </w:pPr>
      <w:r>
        <w:rPr>
          <w:sz w:val="16"/>
        </w:rPr>
        <w:t>The thinking skills employers most value: analyzing business situations from multiple angles, evaluating sources of information, making reasoned judgments, and solving problems systematically.</w:t>
      </w:r>
    </w:p>
    <w:p>
      <w:pPr>
        <w:spacing w:before="0" w:after="120"/>
      </w:pPr>
      <w:r>
        <w:rPr>
          <w:b/>
          <w:sz w:val="16"/>
        </w:rPr>
        <w:t>Communication:</w:t>
      </w:r>
    </w:p>
    <w:p>
      <w:pPr>
        <w:spacing w:before="0" w:after="120"/>
      </w:pPr>
      <w:r>
        <w:rPr>
          <w:sz w:val="16"/>
        </w:rPr>
        <w:t>Every interaction helps students practice articulating ideas clearly, listening actively, giving and receiving feedback constructively, and adapting their style to different audiences.</w:t>
      </w:r>
    </w:p>
    <w:p>
      <w:pPr>
        <w:spacing w:before="0" w:after="120"/>
      </w:pPr>
      <w:r>
        <w:rPr>
          <w:b/>
          <w:sz w:val="16"/>
        </w:rPr>
        <w:t>Self-management:</w:t>
      </w:r>
    </w:p>
    <w:p>
      <w:pPr>
        <w:spacing w:before="0" w:after="120"/>
      </w:pPr>
      <w:r>
        <w:rPr>
          <w:sz w:val="16"/>
        </w:rPr>
        <w:t>Meeting deadlines, organizing work effectively, taking initiative, and knowing when to ask for help—all these capabilities develop through the tutorial process when you create space for them.</w:t>
      </w:r>
    </w:p>
    <w:p>
      <w:pPr>
        <w:spacing w:before="0" w:after="120"/>
      </w:pPr>
      <w:r>
        <w:rPr>
          <w:b/>
          <w:sz w:val="16"/>
        </w:rPr>
        <w:t>Professional ethics:</w:t>
      </w:r>
    </w:p>
    <w:p>
      <w:pPr>
        <w:spacing w:before="0" w:after="120"/>
      </w:pPr>
      <w:r>
        <w:rPr>
          <w:sz w:val="16"/>
        </w:rPr>
        <w:t>Academic integrity mirrors workplace integrity. When you address plagiarism or inappropriate collaboration, frame it in terms of professional reputation and trust, not just rule-following.</w:t>
      </w:r>
    </w:p>
    <w:p>
      <w:pPr>
        <w:pStyle w:val="Heading3"/>
        <w:keepNext/>
        <w:spacing w:before="240" w:after="120"/>
      </w:pPr>
      <w:r>
        <w:rPr>
          <w:sz w:val="16"/>
        </w:rPr>
        <w:t>Making Career Connections Visible</w:t>
      </w:r>
    </w:p>
    <w:p>
      <w:pPr>
        <w:spacing w:before="0" w:after="120"/>
      </w:pPr>
      <w:r>
        <w:rPr>
          <w:sz w:val="16"/>
        </w:rPr>
        <w:t>Help students see why what they're learning matters beyond the classroom. When introducing activities, add one sentence about professional relevance: "Business analysts do exactly this kind of comparison when evaluating vendors" or "This is the same process marketing teams use to assess campaign effectiveness." When students understand relevance, engagement follows.</w:t>
      </w:r>
    </w:p>
    <w:p>
      <w:pPr>
        <w:pStyle w:val="Heading2"/>
        <w:keepNext/>
        <w:spacing w:before="240" w:after="120"/>
      </w:pPr>
      <w:r>
        <w:rPr>
          <w:sz w:val="16"/>
        </w:rPr>
        <w:t>Handling Challenging Situations</w:t>
      </w:r>
    </w:p>
    <w:p>
      <w:pPr>
        <w:spacing w:before="0" w:after="120"/>
      </w:pPr>
      <w:r>
        <w:rPr>
          <w:sz w:val="16"/>
        </w:rPr>
        <w:t>Sometimes things don't go smoothly. Here's how to navigate common challenges.</w:t>
      </w:r>
    </w:p>
    <w:p>
      <w:pPr>
        <w:pStyle w:val="Heading3"/>
        <w:keepNext/>
        <w:spacing w:before="240" w:after="120"/>
      </w:pPr>
      <w:r>
        <w:rPr>
          <w:sz w:val="16"/>
        </w:rPr>
        <w:t>Managing Disruptive Behavior</w:t>
      </w:r>
    </w:p>
    <w:p>
      <w:pPr>
        <w:spacing w:before="0" w:after="120"/>
      </w:pPr>
      <w:r>
        <w:rPr>
          <w:b/>
          <w:sz w:val="16"/>
        </w:rPr>
        <w:t>Address issues privately when possible:</w:t>
      </w:r>
    </w:p>
    <w:p>
      <w:pPr>
        <w:spacing w:before="0" w:after="120"/>
      </w:pPr>
      <w:r>
        <w:rPr>
          <w:sz w:val="16"/>
        </w:rPr>
        <w:t>If possible, speak privately with the student—public confrontation often makes things worse. A brief private conversation ("I noticed you've been on your phone a lot—is everything okay?") is more effective than public correction.</w:t>
      </w:r>
    </w:p>
    <w:p>
      <w:pPr>
        <w:spacing w:before="0" w:after="120"/>
      </w:pPr>
      <w:r>
        <w:rPr>
          <w:b/>
          <w:sz w:val="16"/>
        </w:rPr>
        <w:t>When to escalate:</w:t>
      </w:r>
    </w:p>
    <w:p>
      <w:pPr>
        <w:spacing w:before="0" w:after="120"/>
      </w:pPr>
      <w:r>
        <w:rPr>
          <w:sz w:val="16"/>
        </w:rPr>
        <w:t>Document serious or repeated issues and contact teaching staff if problems persist after you've addressed them privately once.</w:t>
      </w:r>
    </w:p>
    <w:p>
      <w:pPr>
        <w:pStyle w:val="Heading3"/>
        <w:keepNext/>
        <w:spacing w:before="240" w:after="120"/>
      </w:pPr>
      <w:r>
        <w:rPr>
          <w:sz w:val="16"/>
        </w:rPr>
        <w:t>Supporting Students in Distress</w:t>
      </w:r>
    </w:p>
    <w:p>
      <w:pPr>
        <w:spacing w:before="0" w:after="120"/>
      </w:pPr>
      <w:r>
        <w:rPr>
          <w:b/>
          <w:sz w:val="16"/>
        </w:rPr>
        <w:t>If a student seems upset or overwhelmed:</w:t>
      </w:r>
    </w:p>
    <w:p>
      <w:pPr>
        <w:spacing w:before="0" w:after="120"/>
      </w:pPr>
      <w:r>
        <w:rPr>
          <w:sz w:val="16"/>
        </w:rPr>
        <w:t>Listen without judgment and acknowledge their feelings. Then refer them to appropriate support services—counseling, academic support, or other resources. You're not equipped to handle mental health or serious personal issues.</w:t>
      </w:r>
    </w:p>
    <w:p>
      <w:pPr>
        <w:spacing w:before="0" w:after="120"/>
      </w:pPr>
      <w:r>
        <w:rPr>
          <w:b/>
          <w:sz w:val="16"/>
        </w:rPr>
        <w:t>The boundary principle:</w:t>
      </w:r>
    </w:p>
    <w:p>
      <w:pPr>
        <w:spacing w:before="0" w:after="120"/>
      </w:pPr>
      <w:r>
        <w:rPr>
          <w:sz w:val="16"/>
        </w:rPr>
        <w:t>You can be supportive without becoming a personal counselor. Keep student information confidential except when reporting to appropriate staff. If you're unsure whether something should be escalated, ask the module leader.</w:t>
      </w:r>
    </w:p>
    <w:p>
      <w:pPr>
        <w:pStyle w:val="Heading2"/>
        <w:keepNext/>
        <w:spacing w:before="240" w:after="120"/>
      </w:pPr>
      <w:r>
        <w:rPr>
          <w:sz w:val="16"/>
        </w:rPr>
        <w:t>Growing as a Tutor</w:t>
      </w:r>
    </w:p>
    <w:p>
      <w:pPr>
        <w:spacing w:before="0" w:after="120"/>
      </w:pPr>
      <w:r>
        <w:rPr>
          <w:sz w:val="16"/>
        </w:rPr>
        <w:t>Developing your skills is an ongoing process.</w:t>
      </w:r>
    </w:p>
    <w:p>
      <w:pPr>
        <w:pStyle w:val="Heading3"/>
        <w:keepNext/>
        <w:spacing w:before="240" w:after="120"/>
      </w:pPr>
      <w:r>
        <w:rPr>
          <w:sz w:val="16"/>
        </w:rPr>
        <w:t>Preparation Reveals Issues Others Miss</w:t>
      </w:r>
    </w:p>
    <w:p>
      <w:pPr>
        <w:spacing w:before="0" w:after="120"/>
      </w:pPr>
      <w:r>
        <w:rPr>
          <w:sz w:val="16"/>
        </w:rPr>
        <w:t>Working through all materials before sessions helps you anticipate challenges and spot issues. You'll notice confusing instructions, ambiguous questions, or activities that take longer than expected. This preparation lets you plan clarifications and manage time well.</w:t>
      </w:r>
    </w:p>
    <w:p>
      <w:pPr>
        <w:spacing w:before="0" w:after="120"/>
      </w:pPr>
      <w:r>
        <w:rPr>
          <w:sz w:val="16"/>
        </w:rPr>
        <w:t>When you communicate these issues promptly—whether it's an error in materials or an activity that confuses students—you help improve the course for everyone. Share specific examples when you report problems and suggest improvements based on what you've seen work.</w:t>
      </w:r>
    </w:p>
    <w:p>
      <w:pPr>
        <w:spacing w:before="0" w:after="120"/>
      </w:pPr>
      <w:r>
        <w:rPr>
          <w:sz w:val="16"/>
        </w:rPr>
        <w:t>Your regular meetings with the module leader are the time to discuss these observations, share successful strategies, and get guidance on challenges.</w:t>
      </w:r>
    </w:p>
    <w:p>
      <w:pPr>
        <w:pStyle w:val="Heading3"/>
        <w:keepNext/>
        <w:spacing w:before="240" w:after="120"/>
      </w:pPr>
      <w:r>
        <w:rPr>
          <w:sz w:val="16"/>
        </w:rPr>
        <w:t>Learning from Experience</w:t>
      </w:r>
    </w:p>
    <w:p>
      <w:pPr>
        <w:spacing w:before="0" w:after="120"/>
      </w:pPr>
      <w:r>
        <w:rPr>
          <w:sz w:val="16"/>
        </w:rPr>
        <w:t>After each session, reflect on what worked and what didn't. Which strategies were effective? Where did students struggle? What would you do differently next time? This reflection, combined with feedback from teaching staff and insights from fellow tutors, helps you develop your own effective approach.</w:t>
      </w:r>
    </w:p>
    <w:p>
      <w:pPr>
        <w:pStyle w:val="Heading3"/>
        <w:keepNext/>
        <w:spacing w:before="240" w:after="120"/>
      </w:pPr>
      <w:r>
        <w:rPr>
          <w:sz w:val="16"/>
        </w:rPr>
        <w:t>Taking Care of Yourself</w:t>
      </w:r>
    </w:p>
    <w:p>
      <w:pPr>
        <w:spacing w:before="0" w:after="120"/>
      </w:pPr>
      <w:r>
        <w:rPr>
          <w:sz w:val="16"/>
        </w:rPr>
        <w:t>Your wellbeing affects your effectiveness. Remember that you don't need to know everything immediately—it's fine to figure things out alongside students. Ask for help when you need it. Recognize that mistakes are part of learning, both for you and your students.</w:t>
      </w:r>
    </w:p>
    <w:p>
      <w:pPr>
        <w:pStyle w:val="Heading2"/>
        <w:keepNext/>
        <w:spacing w:before="240" w:after="120"/>
      </w:pPr>
      <w:r>
        <w:rPr>
          <w:sz w:val="16"/>
        </w:rPr>
        <w:t>What to Remember</w:t>
      </w:r>
    </w:p>
    <w:p>
      <w:pPr>
        <w:spacing w:before="0" w:after="120"/>
      </w:pPr>
      <w:r>
        <w:rPr>
          <w:b/>
          <w:sz w:val="16"/>
        </w:rPr>
        <w:t>Your role centers on guiding, not telling:</w:t>
      </w:r>
    </w:p>
    <w:p>
      <w:pPr>
        <w:spacing w:before="0" w:after="120"/>
      </w:pPr>
      <w:r>
        <w:rPr>
          <w:sz w:val="16"/>
        </w:rPr>
        <w:t>You're developing students' thinking skills, not just delivering content knowledge. You're building their confidence and independence, modeling professional behavior, and creating a supportive environment where learning happens.</w:t>
      </w:r>
    </w:p>
    <w:p>
      <w:pPr>
        <w:spacing w:before="0" w:after="120"/>
      </w:pPr>
      <w:r>
        <w:rPr>
          <w:b/>
          <w:sz w:val="16"/>
        </w:rPr>
        <w:t>The questions you ask are often more valuable than the answers you give:</w:t>
      </w:r>
    </w:p>
    <w:p>
      <w:pPr>
        <w:spacing w:before="0" w:after="120"/>
      </w:pPr>
      <w:r>
        <w:rPr>
          <w:sz w:val="16"/>
        </w:rPr>
        <w:t>Your impact extends well beyond the specific content you cover—you're helping develop professional capabilities. The skills students build matter as much as the knowledge they gain.</w:t>
      </w:r>
    </w:p>
    <w:p>
      <w:pPr>
        <w:spacing w:before="0" w:after="120"/>
      </w:pPr>
      <w:r>
        <w:rPr>
          <w:b/>
          <w:sz w:val="16"/>
        </w:rPr>
        <w:t>Most importantly:</w:t>
      </w:r>
    </w:p>
    <w:p>
      <w:pPr>
        <w:spacing w:before="0" w:after="120"/>
      </w:pPr>
      <w:r>
        <w:rPr>
          <w:sz w:val="16"/>
        </w:rPr>
        <w:t>Every student can learn and improve. Your support can make a real difference in their development. The skills you help them build—critical thinking, communication, professional judgment—will serve them throughout their careers, long after they've forgotten specific course content.</w:t>
      </w:r>
    </w:p>
    <w:p>
      <w:pPr>
        <w:pStyle w:val="Heading2"/>
        <w:keepNext/>
        <w:spacing w:before="240" w:after="120"/>
      </w:pPr>
      <w:r>
        <w:rPr>
          <w:sz w:val="16"/>
        </w:rPr>
        <w:t>A Final Thought</w:t>
      </w:r>
    </w:p>
    <w:p>
      <w:pPr>
        <w:spacing w:before="0" w:after="120"/>
      </w:pPr>
      <w:r>
        <w:rPr>
          <w:sz w:val="16"/>
        </w:rPr>
        <w:t>You're not expected to be perfect. You're expected to be genuine, prepared, and committed to helping students develop. The fact that you're reading this guide suggests you care about doing well—that attitude matters more than having all the answers. Trust that your effort will show, adapt these ideas to your own style, and remember that you have a support system in the module leader, teaching staff, and fellow tutors.</w:t>
      </w:r>
    </w:p>
    <w:sectPr w:rsidR="00F3238A" w:rsidRPr="00B3540B">
      <w:footerReference w:type="default" r:id="rId7"/>
      <w:pgSz w:w="12240" w:h="15840"/>
      <w:pgMar w:top="1134" w:right="1134"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sz w:val="16"/>
      </w:rPr>
      <w:t xml:space="preserve">BCI2AU Business Communication | Andrews University | NEU, Vietnam | Page </w:t>
    </w:r>
    <w:r>
      <w:rPr>
        <w:sz w:val="18"/>
      </w:rPr>
      <w:fldChar w:fldCharType="begin"/>
      <w:instrText xml:space="preserve">PAGE</w:instrText>
      <w:fldChar w:fldCharType="end"/>
    </w:r>
    <w:r>
      <w:rPr>
        <w:sz w:val="16"/>
      </w:rPr>
      <w:t xml:space="preserve"> of </w:t>
    </w:r>
    <w:r>
      <w:rPr>
        <w:sz w:val="18"/>
      </w:rPr>
      <w:fldChar w:fldCharType="begin"/>
      <w:instrText xml:space="preserve">NUMPAGES</w:instrText>
      <w:fldChar w:fldCharType="end"/>
    </w:r>
  </w:p>
  <w:p>
    <w:pPr>
      <w:spacing w:before="0" w:after="0" w:line="240" w:lineRule="auto"/>
      <w:jc w:val="right"/>
    </w:pPr>
    <w:r>
      <w:rPr>
        <w:sz w:val="16"/>
      </w:rPr>
      <w:t>Generated: November 29, 2025</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0B"/>
    <w:rsid w:val="001D3373"/>
    <w:rsid w:val="00726D56"/>
    <w:rsid w:val="0084714C"/>
    <w:rsid w:val="008614E5"/>
    <w:rsid w:val="00B3540B"/>
    <w:rsid w:val="00F323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EAD2F"/>
  <w15:chartTrackingRefBased/>
  <w15:docId w15:val="{4B53953C-6F2E-B749-AA3A-6542F3BC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40B"/>
    <w:rPr>
      <w:sz w:val="20"/>
      <w:szCs w:val="20"/>
    </w:rPr>
  </w:style>
  <w:style w:type="paragraph" w:styleId="Heading1">
    <w:name w:val="heading 1"/>
    <w:basedOn w:val="Normal"/>
    <w:next w:val="Normal"/>
    <w:link w:val="Heading1Char"/>
    <w:uiPriority w:val="9"/>
    <w:qFormat/>
    <w:rsid w:val="00B354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354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B3540B"/>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B3540B"/>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B3540B"/>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B3540B"/>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B3540B"/>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B3540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3540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0B"/>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B3540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B3540B"/>
    <w:rPr>
      <w:caps/>
      <w:color w:val="0A2F40" w:themeColor="accent1" w:themeShade="7F"/>
      <w:spacing w:val="15"/>
    </w:rPr>
  </w:style>
  <w:style w:type="character" w:customStyle="1" w:styleId="Heading4Char">
    <w:name w:val="Heading 4 Char"/>
    <w:basedOn w:val="DefaultParagraphFont"/>
    <w:link w:val="Heading4"/>
    <w:uiPriority w:val="9"/>
    <w:semiHidden/>
    <w:rsid w:val="00B3540B"/>
    <w:rPr>
      <w:caps/>
      <w:color w:val="0F4761" w:themeColor="accent1" w:themeShade="BF"/>
      <w:spacing w:val="10"/>
    </w:rPr>
  </w:style>
  <w:style w:type="character" w:customStyle="1" w:styleId="Heading5Char">
    <w:name w:val="Heading 5 Char"/>
    <w:basedOn w:val="DefaultParagraphFont"/>
    <w:link w:val="Heading5"/>
    <w:uiPriority w:val="9"/>
    <w:semiHidden/>
    <w:rsid w:val="00B3540B"/>
    <w:rPr>
      <w:caps/>
      <w:color w:val="0F4761" w:themeColor="accent1" w:themeShade="BF"/>
      <w:spacing w:val="10"/>
    </w:rPr>
  </w:style>
  <w:style w:type="character" w:customStyle="1" w:styleId="Heading6Char">
    <w:name w:val="Heading 6 Char"/>
    <w:basedOn w:val="DefaultParagraphFont"/>
    <w:link w:val="Heading6"/>
    <w:uiPriority w:val="9"/>
    <w:semiHidden/>
    <w:rsid w:val="00B3540B"/>
    <w:rPr>
      <w:caps/>
      <w:color w:val="0F4761" w:themeColor="accent1" w:themeShade="BF"/>
      <w:spacing w:val="10"/>
    </w:rPr>
  </w:style>
  <w:style w:type="character" w:customStyle="1" w:styleId="Heading7Char">
    <w:name w:val="Heading 7 Char"/>
    <w:basedOn w:val="DefaultParagraphFont"/>
    <w:link w:val="Heading7"/>
    <w:uiPriority w:val="9"/>
    <w:semiHidden/>
    <w:rsid w:val="00B3540B"/>
    <w:rPr>
      <w:caps/>
      <w:color w:val="0F4761" w:themeColor="accent1" w:themeShade="BF"/>
      <w:spacing w:val="10"/>
    </w:rPr>
  </w:style>
  <w:style w:type="character" w:customStyle="1" w:styleId="Heading8Char">
    <w:name w:val="Heading 8 Char"/>
    <w:basedOn w:val="DefaultParagraphFont"/>
    <w:link w:val="Heading8"/>
    <w:uiPriority w:val="9"/>
    <w:semiHidden/>
    <w:rsid w:val="00B3540B"/>
    <w:rPr>
      <w:caps/>
      <w:spacing w:val="10"/>
      <w:sz w:val="18"/>
      <w:szCs w:val="18"/>
    </w:rPr>
  </w:style>
  <w:style w:type="character" w:customStyle="1" w:styleId="Heading9Char">
    <w:name w:val="Heading 9 Char"/>
    <w:basedOn w:val="DefaultParagraphFont"/>
    <w:link w:val="Heading9"/>
    <w:uiPriority w:val="9"/>
    <w:semiHidden/>
    <w:rsid w:val="00B3540B"/>
    <w:rPr>
      <w:i/>
      <w:caps/>
      <w:spacing w:val="10"/>
      <w:sz w:val="18"/>
      <w:szCs w:val="18"/>
    </w:rPr>
  </w:style>
  <w:style w:type="paragraph" w:styleId="Title">
    <w:name w:val="Title"/>
    <w:basedOn w:val="Normal"/>
    <w:next w:val="Normal"/>
    <w:link w:val="TitleChar"/>
    <w:uiPriority w:val="10"/>
    <w:qFormat/>
    <w:rsid w:val="00B3540B"/>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B3540B"/>
    <w:rPr>
      <w:caps/>
      <w:color w:val="156082" w:themeColor="accent1"/>
      <w:spacing w:val="10"/>
      <w:kern w:val="28"/>
      <w:sz w:val="52"/>
      <w:szCs w:val="52"/>
    </w:rPr>
  </w:style>
  <w:style w:type="paragraph" w:styleId="Subtitle">
    <w:name w:val="Subtitle"/>
    <w:basedOn w:val="Normal"/>
    <w:next w:val="Normal"/>
    <w:link w:val="SubtitleChar"/>
    <w:uiPriority w:val="11"/>
    <w:qFormat/>
    <w:rsid w:val="00B3540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3540B"/>
    <w:rPr>
      <w:caps/>
      <w:color w:val="595959" w:themeColor="text1" w:themeTint="A6"/>
      <w:spacing w:val="10"/>
      <w:sz w:val="24"/>
      <w:szCs w:val="24"/>
    </w:rPr>
  </w:style>
  <w:style w:type="paragraph" w:styleId="Quote">
    <w:name w:val="Quote"/>
    <w:basedOn w:val="Normal"/>
    <w:next w:val="Normal"/>
    <w:link w:val="QuoteChar"/>
    <w:uiPriority w:val="29"/>
    <w:qFormat/>
    <w:rsid w:val="00B3540B"/>
    <w:rPr>
      <w:i/>
      <w:iCs/>
    </w:rPr>
  </w:style>
  <w:style w:type="character" w:customStyle="1" w:styleId="QuoteChar">
    <w:name w:val="Quote Char"/>
    <w:basedOn w:val="DefaultParagraphFont"/>
    <w:link w:val="Quote"/>
    <w:uiPriority w:val="29"/>
    <w:rsid w:val="00B3540B"/>
    <w:rPr>
      <w:i/>
      <w:iCs/>
      <w:sz w:val="20"/>
      <w:szCs w:val="20"/>
    </w:rPr>
  </w:style>
  <w:style w:type="paragraph" w:styleId="ListParagraph">
    <w:name w:val="List Paragraph"/>
    <w:basedOn w:val="Normal"/>
    <w:uiPriority w:val="34"/>
    <w:qFormat/>
    <w:rsid w:val="00B3540B"/>
    <w:pPr>
      <w:ind w:left="720"/>
      <w:contextualSpacing/>
    </w:pPr>
  </w:style>
  <w:style w:type="character" w:styleId="IntenseEmphasis">
    <w:name w:val="Intense Emphasis"/>
    <w:uiPriority w:val="21"/>
    <w:qFormat/>
    <w:rsid w:val="00B3540B"/>
    <w:rPr>
      <w:b/>
      <w:bCs/>
      <w:caps/>
      <w:color w:val="0A2F40" w:themeColor="accent1" w:themeShade="7F"/>
      <w:spacing w:val="10"/>
    </w:rPr>
  </w:style>
  <w:style w:type="paragraph" w:styleId="IntenseQuote">
    <w:name w:val="Intense Quote"/>
    <w:basedOn w:val="Normal"/>
    <w:next w:val="Normal"/>
    <w:link w:val="IntenseQuoteChar"/>
    <w:uiPriority w:val="30"/>
    <w:qFormat/>
    <w:rsid w:val="00B3540B"/>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B3540B"/>
    <w:rPr>
      <w:i/>
      <w:iCs/>
      <w:color w:val="156082" w:themeColor="accent1"/>
      <w:sz w:val="20"/>
      <w:szCs w:val="20"/>
    </w:rPr>
  </w:style>
  <w:style w:type="character" w:styleId="IntenseReference">
    <w:name w:val="Intense Reference"/>
    <w:uiPriority w:val="32"/>
    <w:qFormat/>
    <w:rsid w:val="00B3540B"/>
    <w:rPr>
      <w:b/>
      <w:bCs/>
      <w:i/>
      <w:iCs/>
      <w:caps/>
      <w:color w:val="156082" w:themeColor="accent1"/>
    </w:rPr>
  </w:style>
  <w:style w:type="paragraph" w:styleId="Caption">
    <w:name w:val="caption"/>
    <w:basedOn w:val="Normal"/>
    <w:next w:val="Normal"/>
    <w:uiPriority w:val="35"/>
    <w:semiHidden/>
    <w:unhideWhenUsed/>
    <w:qFormat/>
    <w:rsid w:val="00B3540B"/>
    <w:rPr>
      <w:b/>
      <w:bCs/>
      <w:color w:val="0F4761" w:themeColor="accent1" w:themeShade="BF"/>
      <w:sz w:val="16"/>
      <w:szCs w:val="16"/>
    </w:rPr>
  </w:style>
  <w:style w:type="character" w:styleId="Strong">
    <w:name w:val="Strong"/>
    <w:uiPriority w:val="22"/>
    <w:qFormat/>
    <w:rsid w:val="00B3540B"/>
    <w:rPr>
      <w:b/>
      <w:bCs/>
    </w:rPr>
  </w:style>
  <w:style w:type="character" w:styleId="Emphasis">
    <w:name w:val="Emphasis"/>
    <w:uiPriority w:val="20"/>
    <w:qFormat/>
    <w:rsid w:val="00B3540B"/>
    <w:rPr>
      <w:caps/>
      <w:color w:val="0A2F40" w:themeColor="accent1" w:themeShade="7F"/>
      <w:spacing w:val="5"/>
    </w:rPr>
  </w:style>
  <w:style w:type="paragraph" w:styleId="NoSpacing">
    <w:name w:val="No Spacing"/>
    <w:basedOn w:val="Normal"/>
    <w:link w:val="NoSpacingChar"/>
    <w:uiPriority w:val="1"/>
    <w:qFormat/>
    <w:rsid w:val="00B3540B"/>
    <w:pPr>
      <w:spacing w:before="0" w:after="0" w:line="240" w:lineRule="auto"/>
    </w:pPr>
  </w:style>
  <w:style w:type="character" w:customStyle="1" w:styleId="NoSpacingChar">
    <w:name w:val="No Spacing Char"/>
    <w:basedOn w:val="DefaultParagraphFont"/>
    <w:link w:val="NoSpacing"/>
    <w:uiPriority w:val="1"/>
    <w:rsid w:val="00B3540B"/>
    <w:rPr>
      <w:sz w:val="20"/>
      <w:szCs w:val="20"/>
    </w:rPr>
  </w:style>
  <w:style w:type="character" w:styleId="SubtleEmphasis">
    <w:name w:val="Subtle Emphasis"/>
    <w:uiPriority w:val="19"/>
    <w:qFormat/>
    <w:rsid w:val="00B3540B"/>
    <w:rPr>
      <w:i/>
      <w:iCs/>
      <w:color w:val="0A2F40" w:themeColor="accent1" w:themeShade="7F"/>
    </w:rPr>
  </w:style>
  <w:style w:type="character" w:styleId="SubtleReference">
    <w:name w:val="Subtle Reference"/>
    <w:uiPriority w:val="31"/>
    <w:qFormat/>
    <w:rsid w:val="00B3540B"/>
    <w:rPr>
      <w:b/>
      <w:bCs/>
      <w:color w:val="156082" w:themeColor="accent1"/>
    </w:rPr>
  </w:style>
  <w:style w:type="character" w:styleId="BookTitle">
    <w:name w:val="Book Title"/>
    <w:uiPriority w:val="33"/>
    <w:qFormat/>
    <w:rsid w:val="00B3540B"/>
    <w:rPr>
      <w:b/>
      <w:bCs/>
      <w:i/>
      <w:iCs/>
      <w:spacing w:val="9"/>
    </w:rPr>
  </w:style>
  <w:style w:type="paragraph" w:styleId="TOCHeading">
    <w:name w:val="TOC Heading"/>
    <w:basedOn w:val="Heading1"/>
    <w:next w:val="Normal"/>
    <w:uiPriority w:val="39"/>
    <w:semiHidden/>
    <w:unhideWhenUsed/>
    <w:qFormat/>
    <w:rsid w:val="00B3540B"/>
    <w:pPr>
      <w:outlineLvl w:val="9"/>
    </w:pPr>
  </w:style>
  <w:style w:type="paragraph" w:customStyle="1" w:styleId="ListBullet">
    <w:name w:val="List Bullet"/>
  </w:style>
  <w:style w:type="paragraph" w:customStyle="1" w:styleId="ListNumber">
    <w:name w:val="List Number"/>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3DC35-7C66-E54A-999D-EC96B852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Hoang</dc:creator>
  <cp:keywords/>
  <dc:description/>
  <cp:lastModifiedBy>Wil Hoang</cp:lastModifiedBy>
  <cp:revision>1</cp:revision>
  <dcterms:created xsi:type="dcterms:W3CDTF">2025-11-27T05:22:00Z</dcterms:created>
  <dcterms:modified xsi:type="dcterms:W3CDTF">2025-11-27T05:24:00Z</dcterms:modified>
</cp:coreProperties>
</file>