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9: Cross-Cultural &amp; Team Communication</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Cultural dimensions in communication (Hofstede, Hall, GLOBE)</w:t>
      </w:r>
    </w:p>
    <w:p>
      <w:pPr>
        <w:spacing w:before="0" w:after="0" w:line="276" w:lineRule="auto"/>
        <w:ind w:left="283"/>
      </w:pPr>
      <w:r>
        <w:rPr>
          <w:sz w:val="20"/>
        </w:rPr>
        <w:t xml:space="preserve">2. </w:t>
      </w:r>
      <w:r>
        <w:rPr>
          <w:sz w:val="20"/>
        </w:rPr>
        <w:t>Virtual team communication</w:t>
      </w:r>
    </w:p>
    <w:p>
      <w:pPr>
        <w:spacing w:before="0" w:after="0" w:line="276" w:lineRule="auto"/>
        <w:ind w:left="283"/>
      </w:pPr>
      <w:r>
        <w:rPr>
          <w:sz w:val="20"/>
        </w:rPr>
        <w:t xml:space="preserve">3. </w:t>
      </w:r>
      <w:r>
        <w:rPr>
          <w:sz w:val="20"/>
        </w:rPr>
        <w:t>Collaborative presentations</w:t>
      </w:r>
    </w:p>
    <w:p>
      <w:pPr>
        <w:spacing w:before="0" w:after="0" w:line="276" w:lineRule="auto"/>
        <w:ind w:left="283"/>
      </w:pPr>
      <w:r>
        <w:rPr>
          <w:sz w:val="20"/>
        </w:rPr>
        <w:t xml:space="preserve">4. </w:t>
      </w:r>
      <w:r>
        <w:rPr>
          <w:sz w:val="20"/>
        </w:rPr>
        <w:t>Feedback culture</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Hofstede's 6 Cultural Dimensions</w:t>
      </w:r>
      <w:r>
        <w:rPr>
          <w:sz w:val="20"/>
        </w:rPr>
        <w:t xml:space="preserve"> - 33,000+ citations; taught at all M7 schools and UK Triple Crown institutions as foundational framework</w:t>
      </w:r>
    </w:p>
    <w:p>
      <w:pPr>
        <w:spacing w:before="0" w:after="0" w:line="276" w:lineRule="auto"/>
        <w:ind w:left="283"/>
      </w:pPr>
      <w:r>
        <w:rPr>
          <w:sz w:val="20"/>
        </w:rPr>
        <w:t xml:space="preserve">• </w:t>
      </w:r>
      <w:r>
        <w:rPr>
          <w:b/>
          <w:sz w:val="20"/>
        </w:rPr>
        <w:t>Edmondson's Psychological Safety</w:t>
      </w:r>
      <w:r>
        <w:rPr>
          <w:sz w:val="20"/>
        </w:rPr>
        <w:t xml:space="preserve"> - 92,000+ citations; Harvard-developed, validated by Google's Project Aristotle as #1 predictor of team effectiveness</w:t>
      </w:r>
    </w:p>
    <w:p>
      <w:pPr>
        <w:spacing w:before="0" w:after="0" w:line="276" w:lineRule="auto"/>
        <w:ind w:left="283"/>
      </w:pPr>
      <w:r>
        <w:rPr>
          <w:sz w:val="20"/>
        </w:rPr>
        <w:t xml:space="preserve">• </w:t>
      </w:r>
      <w:r>
        <w:rPr>
          <w:b/>
          <w:sz w:val="20"/>
        </w:rPr>
        <w:t>Meyer's Culture Map (8 Scales)</w:t>
      </w:r>
      <w:r>
        <w:rPr>
          <w:sz w:val="20"/>
        </w:rPr>
        <w:t xml:space="preserve"> - Featured in INSEAD "Leading Across Borders and Cultures" executive program; practical business application framework</w:t>
      </w:r>
    </w:p>
    <w:p>
      <w:pPr>
        <w:spacing w:before="0" w:after="0" w:line="276" w:lineRule="auto"/>
        <w:ind w:left="283"/>
      </w:pPr>
      <w:r>
        <w:rPr>
          <w:sz w:val="20"/>
        </w:rPr>
        <w:t xml:space="preserve">• </w:t>
      </w:r>
      <w:r>
        <w:rPr>
          <w:b/>
          <w:sz w:val="20"/>
        </w:rPr>
        <w:t>Cultural Intelligence (CQ)</w:t>
      </w:r>
      <w:r>
        <w:rPr>
          <w:sz w:val="20"/>
        </w:rPr>
        <w:t xml:space="preserve"> - Developed at London Business School and Nanyang; taught as foundational skill in first trimester at NTU Singapore</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b/>
          <w:sz w:val="20"/>
        </w:rPr>
        <w:t>Meyer (2023) "When Diversity Meets Feedback"</w:t>
      </w:r>
      <w:r>
        <w:rPr>
          <w:sz w:val="20"/>
        </w:rPr>
        <w:t xml:space="preserve"> - HBR; addresses feedback delivery across cultural and generational contexts</w:t>
      </w:r>
    </w:p>
    <w:p>
      <w:pPr>
        <w:spacing w:before="0" w:after="0" w:line="276" w:lineRule="auto"/>
        <w:ind w:left="283"/>
      </w:pPr>
      <w:r>
        <w:rPr>
          <w:sz w:val="20"/>
        </w:rPr>
        <w:t xml:space="preserve">• </w:t>
      </w:r>
      <w:r>
        <w:rPr>
          <w:b/>
          <w:sz w:val="20"/>
        </w:rPr>
        <w:t>Taras et al. (2021) "How Cultural Differences Can Impact Global Teams"</w:t>
      </w:r>
      <w:r>
        <w:rPr>
          <w:sz w:val="20"/>
        </w:rPr>
        <w:t xml:space="preserve"> - HBR; 5,728 individuals across 804 teams in 90 countries; personal vs. contextual diversity framework</w:t>
      </w:r>
    </w:p>
    <w:p>
      <w:pPr>
        <w:pStyle w:val="Heading2"/>
        <w:keepNext/>
        <w:spacing w:before="240" w:after="120"/>
      </w:pPr>
      <w:r>
        <w:rPr>
          <w:sz w:val="20"/>
        </w:rPr>
        <w:t>Article 1: Culture's Consequences (SEMINAL)</w:t>
      </w:r>
    </w:p>
    <w:p>
      <w:pPr>
        <w:spacing w:before="0" w:after="120"/>
      </w:pPr>
      <w:r>
        <w:rPr>
          <w:sz w:val="20"/>
        </w:rPr>
        <w:t xml:space="preserve">Hofstede, G. (2001). </w:t>
      </w:r>
      <w:r>
        <w:rPr>
          <w:i/>
          <w:sz w:val="20"/>
        </w:rPr>
        <w:t>Culture's consequences: Comparing values, behaviors, institutions, and organizations across nations</w:t>
      </w:r>
      <w:r>
        <w:rPr>
          <w:sz w:val="20"/>
        </w:rPr>
        <w:t xml:space="preserve"> (2nd ed.). Sage Publications.</w:t>
      </w:r>
    </w:p>
    <w:p>
      <w:pPr>
        <w:spacing w:before="0" w:after="120"/>
      </w:pPr>
      <w:r>
        <w:rPr>
          <w:b/>
          <w:sz w:val="20"/>
        </w:rPr>
        <w:t>Companion Volume:</w:t>
      </w:r>
      <w:r>
        <w:rPr>
          <w:sz w:val="20"/>
        </w:rPr>
        <w:t xml:space="preserve"> Hofstede, G., Hofstede, G. J., &amp; Minkov, M. (2010). </w:t>
      </w:r>
      <w:r>
        <w:rPr>
          <w:i/>
          <w:sz w:val="20"/>
        </w:rPr>
        <w:t>Cultures and organizations: Software of the mind</w:t>
      </w:r>
      <w:r>
        <w:rPr>
          <w:sz w:val="20"/>
        </w:rPr>
        <w:t xml:space="preserve"> (3rd ed.). McGraw-Hill.</w:t>
      </w:r>
    </w:p>
    <w:p>
      <w:pPr>
        <w:spacing w:before="0" w:after="120"/>
      </w:pPr>
      <w:r>
        <w:rPr>
          <w:b/>
          <w:sz w:val="20"/>
        </w:rPr>
        <w:t>URL:</w:t>
      </w:r>
      <w:r>
        <w:rPr>
          <w:sz w:val="20"/>
        </w:rPr>
        <w:t xml:space="preserve"> https://www.researchgate.net/publication/230557580</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Publisher (Sage); widely available in academic libraries</w:t>
      </w:r>
    </w:p>
    <w:p>
      <w:pPr>
        <w:spacing w:before="0" w:after="120"/>
      </w:pPr>
      <w:r>
        <w:rPr>
          <w:b/>
          <w:sz w:val="20"/>
        </w:rPr>
        <w:t>Citations:</w:t>
      </w:r>
      <w:r>
        <w:rPr>
          <w:sz w:val="20"/>
        </w:rPr>
        <w:t xml:space="preserve"> 33,000+ on Google Scholar</w:t>
      </w:r>
    </w:p>
    <w:p>
      <w:pPr>
        <w:spacing w:before="0" w:after="120"/>
      </w:pPr>
      <w:r>
        <w:rPr>
          <w:b/>
          <w:sz w:val="20"/>
        </w:rPr>
        <w:t>Primary Focus:</w:t>
      </w:r>
      <w:r>
        <w:rPr>
          <w:sz w:val="20"/>
        </w:rPr>
        <w:t xml:space="preserve"> Cultural dimensions in communication, Feedback culture</w:t>
      </w:r>
    </w:p>
    <w:p>
      <w:pPr>
        <w:spacing w:before="0" w:after="120"/>
      </w:pPr>
      <w:r>
        <w:rPr>
          <w:b/>
          <w:sz w:val="20"/>
        </w:rPr>
        <w:t>Content Match:</w:t>
      </w:r>
    </w:p>
    <w:p>
      <w:pPr>
        <w:spacing w:before="0" w:after="120"/>
      </w:pPr>
      <w:r>
        <w:rPr>
          <w:sz w:val="20"/>
        </w:rPr>
        <w:t xml:space="preserve">✓ </w:t>
      </w:r>
      <w:r>
        <w:rPr>
          <w:b/>
          <w:sz w:val="20"/>
        </w:rPr>
        <w:t>Cultural dimensions:</w:t>
      </w:r>
      <w:r>
        <w:rPr>
          <w:sz w:val="20"/>
        </w:rPr>
        <w:t xml:space="preserve"> Comprehensive coverage of all 6 dimensions with country scores</w:t>
      </w:r>
    </w:p>
    <w:p>
      <w:pPr>
        <w:spacing w:before="0" w:after="120"/>
      </w:pPr>
      <w:r>
        <w:rPr>
          <w:sz w:val="20"/>
        </w:rPr>
        <w:t xml:space="preserve">✓ </w:t>
      </w:r>
      <w:r>
        <w:rPr>
          <w:b/>
          <w:sz w:val="20"/>
        </w:rPr>
        <w:t>Feedback culture:</w:t>
      </w:r>
      <w:r>
        <w:rPr>
          <w:sz w:val="20"/>
        </w:rPr>
        <w:t xml:space="preserve"> Power distance and individualism directly shape feedback norms</w:t>
      </w:r>
    </w:p>
    <w:p>
      <w:pPr>
        <w:spacing w:before="0" w:after="120"/>
      </w:pPr>
      <w:r>
        <w:rPr>
          <w:sz w:val="20"/>
        </w:rPr>
        <w:t xml:space="preserve">✓ </w:t>
      </w:r>
      <w:r>
        <w:rPr>
          <w:b/>
          <w:sz w:val="20"/>
        </w:rPr>
        <w:t>Collaborative presentations:</w:t>
      </w:r>
      <w:r>
        <w:rPr>
          <w:sz w:val="20"/>
        </w:rPr>
        <w:t xml:space="preserve"> Style implications across dimensions</w:t>
      </w:r>
    </w:p>
    <w:p>
      <w:pPr>
        <w:spacing w:before="0" w:after="120"/>
      </w:pPr>
      <w:r>
        <w:rPr>
          <w:sz w:val="20"/>
        </w:rPr>
        <w:t xml:space="preserve">✗ </w:t>
      </w:r>
      <w:r>
        <w:rPr>
          <w:b/>
          <w:sz w:val="20"/>
        </w:rPr>
        <w:t>Virtual team communication:</w:t>
      </w:r>
      <w:r>
        <w:rPr>
          <w:sz w:val="20"/>
        </w:rPr>
        <w:t xml:space="preserve"> Framework predates virtual work; applicable but not directly addressed</w:t>
      </w:r>
    </w:p>
    <w:p>
      <w:pPr>
        <w:spacing w:before="0" w:after="120"/>
      </w:pPr>
      <w:r>
        <w:rPr>
          <w:b/>
          <w:sz w:val="20"/>
        </w:rPr>
        <w:t>Why Selected:</w:t>
      </w:r>
      <w:r>
        <w:rPr>
          <w:sz w:val="20"/>
        </w:rPr>
        <w:t xml:space="preserve"> The most influential and widely-cited cross-cultural framework in business education. Provides foundational vocabulary (power distance, individualism, uncertainty avoidance) that all subsequent frameworks build upon. Required reading at every M7 business school.</w:t>
      </w:r>
    </w:p>
    <w:p>
      <w:pPr>
        <w:spacing w:before="0" w:after="120"/>
      </w:pPr>
      <w:r>
        <w:rPr>
          <w:b/>
          <w:sz w:val="20"/>
        </w:rPr>
        <w:t>Key Teaching Content:</w:t>
      </w:r>
    </w:p>
    <w:p>
      <w:pPr>
        <w:spacing w:before="0" w:after="120"/>
      </w:pPr>
      <w:r>
        <w:rPr>
          <w:b/>
          <w:sz w:val="20"/>
        </w:rPr>
        <w:t>Framework: Hofstede's Six Cultural Dimensions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80"/>
        <w:gridCol w:w="2480"/>
        <w:gridCol w:w="2480"/>
        <w:gridCol w:w="2480"/>
      </w:tblGrid>
      <w:tr>
        <w:trPr>
          <w:cantSplit/>
          <w:tblHeader/>
        </w:trPr>
        <w:tc>
          <w:tcPr>
            <w:tcW w:type="auto" w:w="0"/>
            <w:shd w:val="clear" w:color="auto" w:fill="E2E8F0"/>
          </w:tcPr>
          <w:p>
            <w:pPr>
              <w:spacing w:before="0" w:after="0" w:line="276" w:lineRule="auto"/>
            </w:pPr>
            <w:r>
              <w:rPr>
                <w:b/>
                <w:sz w:val="16"/>
              </w:rPr>
              <w:t>Dimension</w:t>
            </w:r>
          </w:p>
        </w:tc>
        <w:tc>
          <w:tcPr>
            <w:tcW w:type="auto" w:w="0"/>
            <w:shd w:val="clear" w:color="auto" w:fill="E2E8F0"/>
          </w:tcPr>
          <w:p>
            <w:pPr>
              <w:spacing w:before="0" w:after="0" w:line="276" w:lineRule="auto"/>
            </w:pPr>
            <w:r>
              <w:rPr>
                <w:b/>
                <w:sz w:val="16"/>
              </w:rPr>
              <w:t>Definition</w:t>
            </w:r>
          </w:p>
        </w:tc>
        <w:tc>
          <w:tcPr>
            <w:tcW w:type="auto" w:w="0"/>
            <w:shd w:val="clear" w:color="auto" w:fill="E2E8F0"/>
          </w:tcPr>
          <w:p>
            <w:pPr>
              <w:spacing w:before="0" w:after="0" w:line="276" w:lineRule="auto"/>
            </w:pPr>
            <w:r>
              <w:rPr>
                <w:b/>
                <w:sz w:val="16"/>
              </w:rPr>
              <w:t>Low Score Example</w:t>
            </w:r>
          </w:p>
        </w:tc>
        <w:tc>
          <w:tcPr>
            <w:tcW w:type="auto" w:w="0"/>
            <w:shd w:val="clear" w:color="auto" w:fill="E2E8F0"/>
          </w:tcPr>
          <w:p>
            <w:pPr>
              <w:spacing w:before="0" w:after="0" w:line="276" w:lineRule="auto"/>
            </w:pPr>
            <w:r>
              <w:rPr>
                <w:b/>
                <w:sz w:val="16"/>
              </w:rPr>
              <w:t>High Score Example</w:t>
            </w:r>
          </w:p>
        </w:tc>
      </w:tr>
      <w:tr>
        <w:trPr>
          <w:cantSplit/>
        </w:trPr>
        <w:tc>
          <w:tcPr>
            <w:tcW w:type="auto" w:w="0"/>
          </w:tcPr>
          <w:p>
            <w:pPr>
              <w:spacing w:before="0" w:after="0" w:line="276" w:lineRule="auto"/>
            </w:pPr>
            <w:r>
              <w:rPr>
                <w:sz w:val="16"/>
              </w:rPr>
              <w:t>Power Distance (PDI)</w:t>
            </w:r>
          </w:p>
        </w:tc>
        <w:tc>
          <w:tcPr>
            <w:tcW w:type="auto" w:w="0"/>
          </w:tcPr>
          <w:p>
            <w:pPr>
              <w:spacing w:before="0" w:after="0" w:line="276" w:lineRule="auto"/>
            </w:pPr>
            <w:r>
              <w:rPr>
                <w:sz w:val="16"/>
              </w:rPr>
              <w:t>Acceptance of unequal power distribution</w:t>
            </w:r>
          </w:p>
        </w:tc>
        <w:tc>
          <w:tcPr>
            <w:tcW w:type="auto" w:w="0"/>
          </w:tcPr>
          <w:p>
            <w:pPr>
              <w:spacing w:before="0" w:after="0" w:line="276" w:lineRule="auto"/>
            </w:pPr>
            <w:r>
              <w:rPr>
                <w:sz w:val="16"/>
              </w:rPr>
              <w:t>Austria (11), Denmark (18)</w:t>
            </w:r>
          </w:p>
        </w:tc>
        <w:tc>
          <w:tcPr>
            <w:tcW w:type="auto" w:w="0"/>
          </w:tcPr>
          <w:p>
            <w:pPr>
              <w:spacing w:before="0" w:after="0" w:line="276" w:lineRule="auto"/>
            </w:pPr>
            <w:r>
              <w:rPr>
                <w:sz w:val="16"/>
              </w:rPr>
              <w:t>Malaysia (104), Philippines (94)</w:t>
            </w:r>
          </w:p>
        </w:tc>
      </w:tr>
      <w:tr>
        <w:trPr>
          <w:cantSplit/>
        </w:trPr>
        <w:tc>
          <w:tcPr>
            <w:tcW w:type="auto" w:w="0"/>
          </w:tcPr>
          <w:p>
            <w:pPr>
              <w:spacing w:before="0" w:after="0" w:line="276" w:lineRule="auto"/>
            </w:pPr>
            <w:r>
              <w:rPr>
                <w:sz w:val="16"/>
              </w:rPr>
              <w:t>Individualism (IDV)</w:t>
            </w:r>
          </w:p>
        </w:tc>
        <w:tc>
          <w:tcPr>
            <w:tcW w:type="auto" w:w="0"/>
          </w:tcPr>
          <w:p>
            <w:pPr>
              <w:spacing w:before="0" w:after="0" w:line="276" w:lineRule="auto"/>
            </w:pPr>
            <w:r>
              <w:rPr>
                <w:sz w:val="16"/>
              </w:rPr>
              <w:t>Self-image as "I" vs "We"</w:t>
            </w:r>
          </w:p>
        </w:tc>
        <w:tc>
          <w:tcPr>
            <w:tcW w:type="auto" w:w="0"/>
          </w:tcPr>
          <w:p>
            <w:pPr>
              <w:spacing w:before="0" w:after="0" w:line="276" w:lineRule="auto"/>
            </w:pPr>
            <w:r>
              <w:rPr>
                <w:sz w:val="16"/>
              </w:rPr>
              <w:t>Guatemala (6), South Korea (18)</w:t>
            </w:r>
          </w:p>
        </w:tc>
        <w:tc>
          <w:tcPr>
            <w:tcW w:type="auto" w:w="0"/>
          </w:tcPr>
          <w:p>
            <w:pPr>
              <w:spacing w:before="0" w:after="0" w:line="276" w:lineRule="auto"/>
            </w:pPr>
            <w:r>
              <w:rPr>
                <w:sz w:val="16"/>
              </w:rPr>
              <w:t>United States (91), Australia (90)</w:t>
            </w:r>
          </w:p>
        </w:tc>
      </w:tr>
      <w:tr>
        <w:trPr>
          <w:cantSplit/>
        </w:trPr>
        <w:tc>
          <w:tcPr>
            <w:tcW w:type="auto" w:w="0"/>
          </w:tcPr>
          <w:p>
            <w:pPr>
              <w:spacing w:before="0" w:after="0" w:line="276" w:lineRule="auto"/>
            </w:pPr>
            <w:r>
              <w:rPr>
                <w:sz w:val="16"/>
              </w:rPr>
              <w:t>Masculinity (MAS)</w:t>
            </w:r>
          </w:p>
        </w:tc>
        <w:tc>
          <w:tcPr>
            <w:tcW w:type="auto" w:w="0"/>
          </w:tcPr>
          <w:p>
            <w:pPr>
              <w:spacing w:before="0" w:after="0" w:line="276" w:lineRule="auto"/>
            </w:pPr>
            <w:r>
              <w:rPr>
                <w:sz w:val="16"/>
              </w:rPr>
              <w:t>Achievement vs. relationship orientation</w:t>
            </w:r>
          </w:p>
        </w:tc>
        <w:tc>
          <w:tcPr>
            <w:tcW w:type="auto" w:w="0"/>
          </w:tcPr>
          <w:p>
            <w:pPr>
              <w:spacing w:before="0" w:after="0" w:line="276" w:lineRule="auto"/>
            </w:pPr>
            <w:r>
              <w:rPr>
                <w:sz w:val="16"/>
              </w:rPr>
              <w:t>Sweden (5), Norway (8)</w:t>
            </w:r>
          </w:p>
        </w:tc>
        <w:tc>
          <w:tcPr>
            <w:tcW w:type="auto" w:w="0"/>
          </w:tcPr>
          <w:p>
            <w:pPr>
              <w:spacing w:before="0" w:after="0" w:line="276" w:lineRule="auto"/>
            </w:pPr>
            <w:r>
              <w:rPr>
                <w:sz w:val="16"/>
              </w:rPr>
              <w:t>Japan (95), Hungary (88)</w:t>
            </w:r>
          </w:p>
        </w:tc>
      </w:tr>
      <w:tr>
        <w:trPr>
          <w:cantSplit/>
        </w:trPr>
        <w:tc>
          <w:tcPr>
            <w:tcW w:type="auto" w:w="0"/>
          </w:tcPr>
          <w:p>
            <w:pPr>
              <w:spacing w:before="0" w:after="0" w:line="276" w:lineRule="auto"/>
            </w:pPr>
            <w:r>
              <w:rPr>
                <w:sz w:val="16"/>
              </w:rPr>
              <w:t>Uncertainty Avoidance (UAI)</w:t>
            </w:r>
          </w:p>
        </w:tc>
        <w:tc>
          <w:tcPr>
            <w:tcW w:type="auto" w:w="0"/>
          </w:tcPr>
          <w:p>
            <w:pPr>
              <w:spacing w:before="0" w:after="0" w:line="276" w:lineRule="auto"/>
            </w:pPr>
            <w:r>
              <w:rPr>
                <w:sz w:val="16"/>
              </w:rPr>
              <w:t>Discomfort with ambiguity</w:t>
            </w:r>
          </w:p>
        </w:tc>
        <w:tc>
          <w:tcPr>
            <w:tcW w:type="auto" w:w="0"/>
          </w:tcPr>
          <w:p>
            <w:pPr>
              <w:spacing w:before="0" w:after="0" w:line="276" w:lineRule="auto"/>
            </w:pPr>
            <w:r>
              <w:rPr>
                <w:sz w:val="16"/>
              </w:rPr>
              <w:t>Singapore (8), Denmark (23)</w:t>
            </w:r>
          </w:p>
        </w:tc>
        <w:tc>
          <w:tcPr>
            <w:tcW w:type="auto" w:w="0"/>
          </w:tcPr>
          <w:p>
            <w:pPr>
              <w:spacing w:before="0" w:after="0" w:line="276" w:lineRule="auto"/>
            </w:pPr>
            <w:r>
              <w:rPr>
                <w:sz w:val="16"/>
              </w:rPr>
              <w:t>Greece (112), Portugal (104)</w:t>
            </w:r>
          </w:p>
        </w:tc>
      </w:tr>
      <w:tr>
        <w:trPr>
          <w:cantSplit/>
        </w:trPr>
        <w:tc>
          <w:tcPr>
            <w:tcW w:type="auto" w:w="0"/>
          </w:tcPr>
          <w:p>
            <w:pPr>
              <w:spacing w:before="0" w:after="0" w:line="276" w:lineRule="auto"/>
            </w:pPr>
            <w:r>
              <w:rPr>
                <w:sz w:val="16"/>
              </w:rPr>
              <w:t>Long-Term Orientation (LTO)</w:t>
            </w:r>
          </w:p>
        </w:tc>
        <w:tc>
          <w:tcPr>
            <w:tcW w:type="auto" w:w="0"/>
          </w:tcPr>
          <w:p>
            <w:pPr>
              <w:spacing w:before="0" w:after="0" w:line="276" w:lineRule="auto"/>
            </w:pPr>
            <w:r>
              <w:rPr>
                <w:sz w:val="16"/>
              </w:rPr>
              <w:t>Future vs. present focus</w:t>
            </w:r>
          </w:p>
        </w:tc>
        <w:tc>
          <w:tcPr>
            <w:tcW w:type="auto" w:w="0"/>
          </w:tcPr>
          <w:p>
            <w:pPr>
              <w:spacing w:before="0" w:after="0" w:line="276" w:lineRule="auto"/>
            </w:pPr>
            <w:r>
              <w:rPr>
                <w:sz w:val="16"/>
              </w:rPr>
              <w:t>United States (29), Puerto Rico (0)</w:t>
            </w:r>
          </w:p>
        </w:tc>
        <w:tc>
          <w:tcPr>
            <w:tcW w:type="auto" w:w="0"/>
          </w:tcPr>
          <w:p>
            <w:pPr>
              <w:spacing w:before="0" w:after="0" w:line="276" w:lineRule="auto"/>
            </w:pPr>
            <w:r>
              <w:rPr>
                <w:sz w:val="16"/>
              </w:rPr>
              <w:t>South Korea (100), Taiwan (93)</w:t>
            </w:r>
          </w:p>
        </w:tc>
      </w:tr>
      <w:tr>
        <w:trPr>
          <w:cantSplit/>
        </w:trPr>
        <w:tc>
          <w:tcPr>
            <w:tcW w:type="auto" w:w="0"/>
          </w:tcPr>
          <w:p>
            <w:pPr>
              <w:spacing w:before="0" w:after="0" w:line="276" w:lineRule="auto"/>
            </w:pPr>
            <w:r>
              <w:rPr>
                <w:sz w:val="16"/>
              </w:rPr>
              <w:t>Indulgence (IVR)</w:t>
            </w:r>
          </w:p>
        </w:tc>
        <w:tc>
          <w:tcPr>
            <w:tcW w:type="auto" w:w="0"/>
          </w:tcPr>
          <w:p>
            <w:pPr>
              <w:spacing w:before="0" w:after="0" w:line="276" w:lineRule="auto"/>
            </w:pPr>
            <w:r>
              <w:rPr>
                <w:sz w:val="16"/>
              </w:rPr>
              <w:t>Gratification vs. restraint</w:t>
            </w:r>
          </w:p>
        </w:tc>
        <w:tc>
          <w:tcPr>
            <w:tcW w:type="auto" w:w="0"/>
          </w:tcPr>
          <w:p>
            <w:pPr>
              <w:spacing w:before="0" w:after="0" w:line="276" w:lineRule="auto"/>
            </w:pPr>
            <w:r>
              <w:rPr>
                <w:sz w:val="16"/>
              </w:rPr>
              <w:t>Mexico (97), Venezuela (100)</w:t>
            </w:r>
          </w:p>
        </w:tc>
        <w:tc>
          <w:tcPr>
            <w:tcW w:type="auto" w:w="0"/>
          </w:tcPr>
          <w:p>
            <w:pPr>
              <w:spacing w:before="0" w:after="0" w:line="276" w:lineRule="auto"/>
            </w:pPr>
            <w:r>
              <w:rPr>
                <w:sz w:val="16"/>
              </w:rPr>
              <w:t>Pakistan (0), Egypt (4)</w:t>
            </w:r>
          </w:p>
        </w:tc>
      </w:tr>
    </w:tbl>
    <w:p>
      <w:pPr>
        <w:spacing w:before="0" w:after="120"/>
      </w:pPr>
      <w:r>
        <w:rPr>
          <w:b/>
          <w:sz w:val="20"/>
        </w:rPr>
        <w:t>Business Applications:</w:t>
      </w:r>
    </w:p>
    <w:p>
      <w:pPr>
        <w:spacing w:before="0" w:after="0" w:line="276" w:lineRule="auto"/>
        <w:ind w:left="283"/>
      </w:pPr>
      <w:r>
        <w:rPr>
          <w:sz w:val="20"/>
        </w:rPr>
        <w:t xml:space="preserve">• </w:t>
      </w:r>
      <w:r>
        <w:rPr>
          <w:b/>
          <w:sz w:val="20"/>
        </w:rPr>
        <w:t>Feedback behavior varies by PDI + IDV:</w:t>
      </w:r>
      <w:r>
        <w:rPr>
          <w:sz w:val="20"/>
        </w:rPr>
        <w:t xml:space="preserve"> Americans (high IDV, moderate PDI) expect direct personal feedback; Japanese (moderate IDV, high PDI, high MAS) deliver indirect feedback through hierarchy; Swedes (high IDV, low PDI, low MAS) give direct but considerate feedback</w:t>
      </w:r>
    </w:p>
    <w:p>
      <w:pPr>
        <w:spacing w:before="0" w:after="0" w:line="276" w:lineRule="auto"/>
        <w:ind w:left="283"/>
      </w:pPr>
      <w:r>
        <w:rPr>
          <w:sz w:val="20"/>
        </w:rPr>
        <w:t xml:space="preserve">• </w:t>
      </w:r>
      <w:r>
        <w:rPr>
          <w:b/>
          <w:sz w:val="20"/>
        </w:rPr>
        <w:t>Meeting dynamics:</w:t>
      </w:r>
      <w:r>
        <w:rPr>
          <w:sz w:val="20"/>
        </w:rPr>
        <w:t xml:space="preserve"> High PDI + Collectivist teams feature senior members speaking while others defer; Low PDI + Individualist teams encourage open debate with equal voices</w:t>
      </w:r>
    </w:p>
    <w:p>
      <w:pPr>
        <w:spacing w:before="0" w:after="0" w:line="276" w:lineRule="auto"/>
        <w:ind w:left="283"/>
      </w:pPr>
      <w:r>
        <w:rPr>
          <w:sz w:val="20"/>
        </w:rPr>
        <w:t xml:space="preserve">• </w:t>
      </w:r>
      <w:r>
        <w:rPr>
          <w:b/>
          <w:sz w:val="20"/>
        </w:rPr>
        <w:t>Decision-making:</w:t>
      </w:r>
      <w:r>
        <w:rPr>
          <w:sz w:val="20"/>
        </w:rPr>
        <w:t xml:space="preserve"> High UAI cultures want detailed plans before action; Low UAI cultures comfortable iterating</w:t>
      </w:r>
    </w:p>
    <w:p>
      <w:pPr>
        <w:spacing w:before="0" w:after="120"/>
      </w:pPr>
      <w:r>
        <w:rPr>
          <w:b/>
          <w:sz w:val="20"/>
        </w:rPr>
        <w:t>Key Quotes/Stats:</w:t>
      </w:r>
    </w:p>
    <w:p>
      <w:pPr>
        <w:spacing w:before="0" w:after="0" w:line="276" w:lineRule="auto"/>
        <w:ind w:left="283"/>
      </w:pPr>
      <w:r>
        <w:rPr>
          <w:sz w:val="20"/>
        </w:rPr>
        <w:t xml:space="preserve">• </w:t>
      </w:r>
      <w:r>
        <w:rPr>
          <w:sz w:val="20"/>
        </w:rPr>
        <w:t>"Culture is the collective programming of the mind distinguishing the members of one group or category of people from others."</w:t>
      </w:r>
    </w:p>
    <w:p>
      <w:pPr>
        <w:spacing w:before="0" w:after="0" w:line="276" w:lineRule="auto"/>
        <w:ind w:left="283"/>
      </w:pPr>
      <w:r>
        <w:rPr>
          <w:sz w:val="20"/>
        </w:rPr>
        <w:t xml:space="preserve">• </w:t>
      </w:r>
      <w:r>
        <w:rPr>
          <w:sz w:val="20"/>
        </w:rPr>
        <w:t>"In most collectivist cultures, direct confrontation of another person is considered rude and undesirable. The word 'no' is seldom used because saying 'no' is a confrontation."</w:t>
      </w:r>
    </w:p>
    <w:p>
      <w:pPr>
        <w:spacing w:before="0" w:after="0" w:line="276" w:lineRule="auto"/>
        <w:ind w:left="283"/>
      </w:pPr>
      <w:r>
        <w:rPr>
          <w:sz w:val="20"/>
        </w:rPr>
        <w:t xml:space="preserve">• </w:t>
      </w:r>
      <w:r>
        <w:rPr>
          <w:sz w:val="20"/>
        </w:rPr>
        <w:t>Research base: 117,000 IBM employees across 40 countries (1967-1973), later expanded to 76 countries</w:t>
      </w:r>
    </w:p>
    <w:p>
      <w:pPr>
        <w:spacing w:before="0" w:after="0" w:line="276" w:lineRule="auto"/>
        <w:ind w:left="283"/>
      </w:pPr>
      <w:r>
        <w:rPr>
          <w:sz w:val="20"/>
        </w:rPr>
        <w:t xml:space="preserve">• </w:t>
      </w:r>
      <w:r>
        <w:rPr>
          <w:sz w:val="20"/>
        </w:rPr>
        <w:t>Wall Street Journal: Top 20 most influential business thinkers (2008)</w:t>
      </w:r>
    </w:p>
    <w:p>
      <w:pPr>
        <w:pStyle w:val="Heading2"/>
        <w:keepNext/>
        <w:spacing w:before="240" w:after="120"/>
      </w:pPr>
      <w:r>
        <w:rPr>
          <w:sz w:val="20"/>
        </w:rPr>
        <w:t>Article 2: Psychological Safety and Learning Behavior in Work Teams (SEMINAL)</w:t>
      </w:r>
    </w:p>
    <w:p>
      <w:pPr>
        <w:spacing w:before="0" w:after="120"/>
      </w:pPr>
      <w:r>
        <w:rPr>
          <w:sz w:val="20"/>
        </w:rPr>
        <w:t xml:space="preserve">Edmondson, A. C. (1999). Psychological safety and learning behavior in work teams. </w:t>
      </w:r>
      <w:r>
        <w:rPr>
          <w:i/>
          <w:sz w:val="20"/>
        </w:rPr>
        <w:t>Administrative Science Quarterly, 44</w:t>
      </w:r>
      <w:r>
        <w:rPr>
          <w:sz w:val="20"/>
        </w:rPr>
        <w:t>(2), 350–383. https://doi.org/10.2307/2666999</w:t>
      </w:r>
    </w:p>
    <w:p>
      <w:pPr>
        <w:spacing w:before="0" w:after="120"/>
      </w:pPr>
      <w:r>
        <w:rPr>
          <w:b/>
          <w:sz w:val="20"/>
        </w:rPr>
        <w:t>Book Expansion:</w:t>
      </w:r>
      <w:r>
        <w:rPr>
          <w:sz w:val="20"/>
        </w:rPr>
        <w:t xml:space="preserve"> Edmondson, A. C. (2019). </w:t>
      </w:r>
      <w:r>
        <w:rPr>
          <w:i/>
          <w:sz w:val="20"/>
        </w:rPr>
        <w:t>The fearless organization: Creating psychological safety in the workplace for learning, innovation, and growth</w:t>
      </w:r>
      <w:r>
        <w:rPr>
          <w:sz w:val="20"/>
        </w:rPr>
        <w:t>. Wiley.</w:t>
      </w:r>
    </w:p>
    <w:p>
      <w:pPr>
        <w:spacing w:before="0" w:after="120"/>
      </w:pPr>
      <w:r>
        <w:rPr>
          <w:b/>
          <w:sz w:val="20"/>
        </w:rPr>
        <w:t>URL:</w:t>
      </w:r>
      <w:r>
        <w:rPr>
          <w:sz w:val="20"/>
        </w:rPr>
        <w:t xml:space="preserve"> https://www.hbs.edu/faculty/Pages/item.aspx?num=2959</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SAGE Journals; MIT and Harvard repositories</w:t>
      </w:r>
    </w:p>
    <w:p>
      <w:pPr>
        <w:spacing w:before="0" w:after="120"/>
      </w:pPr>
      <w:r>
        <w:rPr>
          <w:b/>
          <w:sz w:val="20"/>
        </w:rPr>
        <w:t>Citations:</w:t>
      </w:r>
      <w:r>
        <w:rPr>
          <w:sz w:val="20"/>
        </w:rPr>
        <w:t xml:space="preserve"> 92,496+ total citations for Edmondson's works</w:t>
      </w:r>
    </w:p>
    <w:p>
      <w:pPr>
        <w:spacing w:before="0" w:after="120"/>
      </w:pPr>
      <w:r>
        <w:rPr>
          <w:b/>
          <w:sz w:val="20"/>
        </w:rPr>
        <w:t>Primary Focus:</w:t>
      </w:r>
      <w:r>
        <w:rPr>
          <w:sz w:val="20"/>
        </w:rPr>
        <w:t xml:space="preserve"> Feedback culture, Virtual team communication</w:t>
      </w:r>
    </w:p>
    <w:p>
      <w:pPr>
        <w:spacing w:before="0" w:after="120"/>
      </w:pPr>
      <w:r>
        <w:rPr>
          <w:b/>
          <w:sz w:val="20"/>
        </w:rPr>
        <w:t>Content Match:</w:t>
      </w:r>
    </w:p>
    <w:p>
      <w:pPr>
        <w:spacing w:before="0" w:after="120"/>
      </w:pPr>
      <w:r>
        <w:rPr>
          <w:sz w:val="20"/>
        </w:rPr>
        <w:t xml:space="preserve">✓ </w:t>
      </w:r>
      <w:r>
        <w:rPr>
          <w:b/>
          <w:sz w:val="20"/>
        </w:rPr>
        <w:t>Feedback culture:</w:t>
      </w:r>
      <w:r>
        <w:rPr>
          <w:sz w:val="20"/>
        </w:rPr>
        <w:t xml:space="preserve"> Core focus—how teams create climate for honest feedback</w:t>
      </w:r>
    </w:p>
    <w:p>
      <w:pPr>
        <w:spacing w:before="0" w:after="120"/>
      </w:pPr>
      <w:r>
        <w:rPr>
          <w:sz w:val="20"/>
        </w:rPr>
        <w:t xml:space="preserve">✓ </w:t>
      </w:r>
      <w:r>
        <w:rPr>
          <w:b/>
          <w:sz w:val="20"/>
        </w:rPr>
        <w:t>Virtual team communication:</w:t>
      </w:r>
      <w:r>
        <w:rPr>
          <w:sz w:val="20"/>
        </w:rPr>
        <w:t xml:space="preserve"> Critical for remote teams; enables voice in mediated contexts</w:t>
      </w:r>
    </w:p>
    <w:p>
      <w:pPr>
        <w:spacing w:before="0" w:after="120"/>
      </w:pPr>
      <w:r>
        <w:rPr>
          <w:sz w:val="20"/>
        </w:rPr>
        <w:t xml:space="preserve">✓ </w:t>
      </w:r>
      <w:r>
        <w:rPr>
          <w:b/>
          <w:sz w:val="20"/>
        </w:rPr>
        <w:t>Collaborative presentations:</w:t>
      </w:r>
      <w:r>
        <w:rPr>
          <w:sz w:val="20"/>
        </w:rPr>
        <w:t xml:space="preserve"> Voice and idea sharing enabled by safety</w:t>
      </w:r>
    </w:p>
    <w:p>
      <w:pPr>
        <w:spacing w:before="0" w:after="120"/>
      </w:pPr>
      <w:r>
        <w:rPr>
          <w:sz w:val="20"/>
        </w:rPr>
        <w:t xml:space="preserve">✗ </w:t>
      </w:r>
      <w:r>
        <w:rPr>
          <w:b/>
          <w:sz w:val="20"/>
        </w:rPr>
        <w:t>Cultural dimensions:</w:t>
      </w:r>
      <w:r>
        <w:rPr>
          <w:sz w:val="20"/>
        </w:rPr>
        <w:t xml:space="preserve"> Related to team climate but not primary focus</w:t>
      </w:r>
    </w:p>
    <w:p>
      <w:pPr>
        <w:spacing w:before="0" w:after="120"/>
      </w:pPr>
      <w:r>
        <w:rPr>
          <w:b/>
          <w:sz w:val="20"/>
        </w:rPr>
        <w:t>Why Selected:</w:t>
      </w:r>
      <w:r>
        <w:rPr>
          <w:sz w:val="20"/>
        </w:rPr>
        <w:t xml:space="preserve"> Google's Project Aristotle identified psychological safety as the #1 predictor of team effectiveness. This seminal research defines the construct and provides measurement tools. Essential for any discussion of feedback culture and team communication.</w:t>
      </w:r>
    </w:p>
    <w:p>
      <w:pPr>
        <w:spacing w:before="0" w:after="120"/>
      </w:pPr>
      <w:r>
        <w:rPr>
          <w:b/>
          <w:sz w:val="20"/>
        </w:rPr>
        <w:t>Key Teaching Content:</w:t>
      </w:r>
    </w:p>
    <w:p>
      <w:pPr>
        <w:spacing w:before="0" w:after="120"/>
      </w:pPr>
      <w:r>
        <w:rPr>
          <w:b/>
          <w:sz w:val="20"/>
        </w:rPr>
        <w:t>Framework: Psychological Safety Definition</w:t>
      </w:r>
    </w:p>
    <w:p>
      <w:pPr>
        <w:spacing w:before="0" w:after="120"/>
      </w:pPr>
      <w:r>
        <w:rPr>
          <w:sz w:val="20"/>
        </w:rPr>
        <w:t>"A shared belief held by members of a team that the team is safe for interpersonal risk taking" (Edmondson, 1999, p. 354)</w:t>
      </w:r>
    </w:p>
    <w:p>
      <w:pPr>
        <w:spacing w:before="0" w:after="120"/>
      </w:pPr>
      <w:r>
        <w:rPr>
          <w:b/>
          <w:sz w:val="20"/>
        </w:rPr>
        <w:t>Critical Distinctions:</w:t>
      </w:r>
    </w:p>
    <w:p>
      <w:pPr>
        <w:spacing w:before="0" w:after="0" w:line="276" w:lineRule="auto"/>
        <w:ind w:left="283"/>
      </w:pPr>
      <w:r>
        <w:rPr>
          <w:sz w:val="20"/>
        </w:rPr>
        <w:t xml:space="preserve">• </w:t>
      </w:r>
      <w:r>
        <w:rPr>
          <w:sz w:val="20"/>
        </w:rPr>
        <w:t>≠ Trust (expectations about others' future actions)</w:t>
      </w:r>
    </w:p>
    <w:p>
      <w:pPr>
        <w:spacing w:before="0" w:after="0" w:line="276" w:lineRule="auto"/>
        <w:ind w:left="283"/>
      </w:pPr>
      <w:r>
        <w:rPr>
          <w:sz w:val="20"/>
        </w:rPr>
        <w:t xml:space="preserve">• </w:t>
      </w:r>
      <w:r>
        <w:rPr>
          <w:sz w:val="20"/>
        </w:rPr>
        <w:t>≠ Group cohesiveness (can actually reduce willingness to challenge)</w:t>
      </w:r>
    </w:p>
    <w:p>
      <w:pPr>
        <w:spacing w:before="0" w:after="0" w:line="276" w:lineRule="auto"/>
        <w:ind w:left="283"/>
      </w:pPr>
      <w:r>
        <w:rPr>
          <w:sz w:val="20"/>
        </w:rPr>
        <w:t xml:space="preserve">• </w:t>
      </w:r>
      <w:r>
        <w:rPr>
          <w:sz w:val="20"/>
        </w:rPr>
        <w:t>≠ "Being nice" (safety enables the candid feedback that niceness avoids)</w:t>
      </w:r>
    </w:p>
    <w:p>
      <w:pPr>
        <w:spacing w:before="0" w:after="120"/>
      </w:pPr>
      <w:r>
        <w:rPr>
          <w:b/>
          <w:sz w:val="20"/>
        </w:rPr>
        <w:t>The Four Zones Framework (Safety × Accountability Matrix):</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tcPr>
          <w:p>
            <w:pPr>
              <w:spacing w:before="0" w:after="0" w:line="276" w:lineRule="auto"/>
            </w:pPr>
          </w:p>
        </w:tc>
        <w:tc>
          <w:tcPr>
            <w:tcW w:type="auto" w:w="0"/>
            <w:shd w:val="clear" w:color="auto" w:fill="E2E8F0"/>
          </w:tcPr>
          <w:p>
            <w:pPr>
              <w:spacing w:before="0" w:after="0" w:line="276" w:lineRule="auto"/>
            </w:pPr>
            <w:r>
              <w:rPr>
                <w:b/>
                <w:sz w:val="16"/>
              </w:rPr>
              <w:t>Low Accountability</w:t>
            </w:r>
          </w:p>
        </w:tc>
        <w:tc>
          <w:tcPr>
            <w:tcW w:type="auto" w:w="0"/>
            <w:shd w:val="clear" w:color="auto" w:fill="E2E8F0"/>
          </w:tcPr>
          <w:p>
            <w:pPr>
              <w:spacing w:before="0" w:after="0" w:line="276" w:lineRule="auto"/>
            </w:pPr>
            <w:r>
              <w:rPr>
                <w:b/>
                <w:sz w:val="16"/>
              </w:rPr>
              <w:t>High Accountability</w:t>
            </w:r>
          </w:p>
        </w:tc>
      </w:tr>
      <w:tr>
        <w:trPr>
          <w:cantSplit/>
        </w:trPr>
        <w:tc>
          <w:tcPr>
            <w:tcW w:type="auto" w:w="0"/>
          </w:tcPr>
          <w:p>
            <w:pPr>
              <w:spacing w:before="0" w:after="0" w:line="276" w:lineRule="auto"/>
            </w:pPr>
            <w:r>
              <w:rPr>
                <w:b/>
                <w:sz w:val="16"/>
              </w:rPr>
              <w:t>High Psychological Safety</w:t>
            </w:r>
          </w:p>
        </w:tc>
        <w:tc>
          <w:tcPr>
            <w:tcW w:type="auto" w:w="0"/>
          </w:tcPr>
          <w:p>
            <w:pPr>
              <w:spacing w:before="0" w:after="0" w:line="276" w:lineRule="auto"/>
            </w:pPr>
            <w:r>
              <w:rPr>
                <w:sz w:val="16"/>
              </w:rPr>
              <w:t>Comfort Zone—safe but complacent</w:t>
            </w:r>
          </w:p>
        </w:tc>
        <w:tc>
          <w:tcPr>
            <w:tcW w:type="auto" w:w="0"/>
          </w:tcPr>
          <w:p>
            <w:pPr>
              <w:spacing w:before="0" w:after="0" w:line="276" w:lineRule="auto"/>
            </w:pPr>
            <w:r>
              <w:rPr>
                <w:b/>
                <w:sz w:val="16"/>
              </w:rPr>
              <w:t>Learning Zone—optimal performance</w:t>
            </w:r>
          </w:p>
        </w:tc>
      </w:tr>
      <w:tr>
        <w:trPr>
          <w:cantSplit/>
        </w:trPr>
        <w:tc>
          <w:tcPr>
            <w:tcW w:type="auto" w:w="0"/>
          </w:tcPr>
          <w:p>
            <w:pPr>
              <w:spacing w:before="0" w:after="0" w:line="276" w:lineRule="auto"/>
            </w:pPr>
            <w:r>
              <w:rPr>
                <w:b/>
                <w:sz w:val="16"/>
              </w:rPr>
              <w:t>Low Psychological Safety</w:t>
            </w:r>
          </w:p>
        </w:tc>
        <w:tc>
          <w:tcPr>
            <w:tcW w:type="auto" w:w="0"/>
          </w:tcPr>
          <w:p>
            <w:pPr>
              <w:spacing w:before="0" w:after="0" w:line="276" w:lineRule="auto"/>
            </w:pPr>
            <w:r>
              <w:rPr>
                <w:sz w:val="16"/>
              </w:rPr>
              <w:t>Apathy Zone—minimal effort</w:t>
            </w:r>
          </w:p>
        </w:tc>
        <w:tc>
          <w:tcPr>
            <w:tcW w:type="auto" w:w="0"/>
          </w:tcPr>
          <w:p>
            <w:pPr>
              <w:spacing w:before="0" w:after="0" w:line="276" w:lineRule="auto"/>
            </w:pPr>
            <w:r>
              <w:rPr>
                <w:sz w:val="16"/>
              </w:rPr>
              <w:t>Anxiety Zone—fear-driven, burnout</w:t>
            </w:r>
          </w:p>
        </w:tc>
      </w:tr>
    </w:tbl>
    <w:p>
      <w:pPr>
        <w:spacing w:before="0" w:after="120"/>
      </w:pPr>
      <w:r>
        <w:rPr>
          <w:b/>
          <w:sz w:val="20"/>
        </w:rPr>
        <w:t>Edmondson's 7-Item Measurement Index:</w:t>
      </w:r>
    </w:p>
    <w:p>
      <w:pPr>
        <w:spacing w:before="0" w:after="0" w:line="276" w:lineRule="auto"/>
        <w:ind w:left="283"/>
      </w:pPr>
      <w:r>
        <w:rPr>
          <w:sz w:val="20"/>
        </w:rPr>
        <w:t xml:space="preserve">1. </w:t>
      </w:r>
      <w:r>
        <w:rPr>
          <w:sz w:val="20"/>
        </w:rPr>
        <w:t xml:space="preserve">If you make a mistake on this team, it is often held against you </w:t>
      </w:r>
      <w:r>
        <w:rPr>
          <w:i/>
          <w:sz w:val="20"/>
        </w:rPr>
        <w:t>(reverse)</w:t>
      </w:r>
    </w:p>
    <w:p>
      <w:pPr>
        <w:spacing w:before="0" w:after="0" w:line="276" w:lineRule="auto"/>
        <w:ind w:left="283"/>
      </w:pPr>
      <w:r>
        <w:rPr>
          <w:sz w:val="20"/>
        </w:rPr>
        <w:t xml:space="preserve">2. </w:t>
      </w:r>
      <w:r>
        <w:rPr>
          <w:sz w:val="20"/>
        </w:rPr>
        <w:t>Members of this team are able to bring up problems and tough issues</w:t>
      </w:r>
    </w:p>
    <w:p>
      <w:pPr>
        <w:spacing w:before="0" w:after="0" w:line="276" w:lineRule="auto"/>
        <w:ind w:left="283"/>
      </w:pPr>
      <w:r>
        <w:rPr>
          <w:sz w:val="20"/>
        </w:rPr>
        <w:t xml:space="preserve">3. </w:t>
      </w:r>
      <w:r>
        <w:rPr>
          <w:sz w:val="20"/>
        </w:rPr>
        <w:t xml:space="preserve">People on this team sometimes reject others for being different </w:t>
      </w:r>
      <w:r>
        <w:rPr>
          <w:i/>
          <w:sz w:val="20"/>
        </w:rPr>
        <w:t>(reverse)</w:t>
      </w:r>
    </w:p>
    <w:p>
      <w:pPr>
        <w:spacing w:before="0" w:after="0" w:line="276" w:lineRule="auto"/>
        <w:ind w:left="283"/>
      </w:pPr>
      <w:r>
        <w:rPr>
          <w:sz w:val="20"/>
        </w:rPr>
        <w:t xml:space="preserve">4. </w:t>
      </w:r>
      <w:r>
        <w:rPr>
          <w:sz w:val="20"/>
        </w:rPr>
        <w:t>It is safe to take a risk on this team</w:t>
      </w:r>
    </w:p>
    <w:p>
      <w:pPr>
        <w:spacing w:before="0" w:after="0" w:line="276" w:lineRule="auto"/>
        <w:ind w:left="283"/>
      </w:pPr>
      <w:r>
        <w:rPr>
          <w:sz w:val="20"/>
        </w:rPr>
        <w:t xml:space="preserve">5. </w:t>
      </w:r>
      <w:r>
        <w:rPr>
          <w:sz w:val="20"/>
        </w:rPr>
        <w:t xml:space="preserve">It is difficult to ask other members of this team for help </w:t>
      </w:r>
      <w:r>
        <w:rPr>
          <w:i/>
          <w:sz w:val="20"/>
        </w:rPr>
        <w:t>(reverse)</w:t>
      </w:r>
    </w:p>
    <w:p>
      <w:pPr>
        <w:spacing w:before="0" w:after="0" w:line="276" w:lineRule="auto"/>
        <w:ind w:left="283"/>
      </w:pPr>
      <w:r>
        <w:rPr>
          <w:sz w:val="20"/>
        </w:rPr>
        <w:t xml:space="preserve">6. </w:t>
      </w:r>
      <w:r>
        <w:rPr>
          <w:sz w:val="20"/>
        </w:rPr>
        <w:t>No one on this team would deliberately act to undermine my efforts</w:t>
      </w:r>
    </w:p>
    <w:p>
      <w:pPr>
        <w:spacing w:before="0" w:after="0" w:line="276" w:lineRule="auto"/>
        <w:ind w:left="283"/>
      </w:pPr>
      <w:r>
        <w:rPr>
          <w:sz w:val="20"/>
        </w:rPr>
        <w:t xml:space="preserve">7. </w:t>
      </w:r>
      <w:r>
        <w:rPr>
          <w:sz w:val="20"/>
        </w:rPr>
        <w:t>Working with this team, my unique skills and talents are valued and utilized</w:t>
      </w:r>
    </w:p>
    <w:p>
      <w:pPr>
        <w:spacing w:before="0" w:after="120"/>
      </w:pPr>
      <w:r>
        <w:rPr>
          <w:b/>
          <w:sz w:val="20"/>
        </w:rPr>
        <w:t>Three-Step Leadership Approach:</w:t>
      </w:r>
    </w:p>
    <w:p>
      <w:pPr>
        <w:spacing w:before="0" w:after="0" w:line="276" w:lineRule="auto"/>
        <w:ind w:left="283"/>
      </w:pPr>
      <w:r>
        <w:rPr>
          <w:sz w:val="20"/>
        </w:rPr>
        <w:t xml:space="preserve">1. </w:t>
      </w:r>
      <w:r>
        <w:rPr>
          <w:b/>
          <w:sz w:val="20"/>
        </w:rPr>
        <w:t>Set the Stage:</w:t>
      </w:r>
      <w:r>
        <w:rPr>
          <w:sz w:val="20"/>
        </w:rPr>
        <w:t xml:space="preserve"> Frame work as learning problem, acknowledge your own fallibility</w:t>
      </w:r>
    </w:p>
    <w:p>
      <w:pPr>
        <w:spacing w:before="0" w:after="0" w:line="276" w:lineRule="auto"/>
        <w:ind w:left="283"/>
      </w:pPr>
      <w:r>
        <w:rPr>
          <w:sz w:val="20"/>
        </w:rPr>
        <w:t xml:space="preserve">2. </w:t>
      </w:r>
      <w:r>
        <w:rPr>
          <w:b/>
          <w:sz w:val="20"/>
        </w:rPr>
        <w:t>Invite Participation:</w:t>
      </w:r>
      <w:r>
        <w:rPr>
          <w:sz w:val="20"/>
        </w:rPr>
        <w:t xml:space="preserve"> Proactive inquiry, design structures for input, ask "What are we missing?"</w:t>
      </w:r>
    </w:p>
    <w:p>
      <w:pPr>
        <w:spacing w:before="0" w:after="0" w:line="276" w:lineRule="auto"/>
        <w:ind w:left="283"/>
      </w:pPr>
      <w:r>
        <w:rPr>
          <w:sz w:val="20"/>
        </w:rPr>
        <w:t xml:space="preserve">3. </w:t>
      </w:r>
      <w:r>
        <w:rPr>
          <w:b/>
          <w:sz w:val="20"/>
        </w:rPr>
        <w:t>Respond Productively:</w:t>
      </w:r>
      <w:r>
        <w:rPr>
          <w:sz w:val="20"/>
        </w:rPr>
        <w:t xml:space="preserve"> Express appreciation for contributions, destigmatize failure, offer solutions</w:t>
      </w:r>
    </w:p>
    <w:p>
      <w:pPr>
        <w:spacing w:before="0" w:after="120"/>
      </w:pPr>
      <w:r>
        <w:rPr>
          <w:b/>
          <w:sz w:val="20"/>
        </w:rPr>
        <w:t>Key Quotes/Stats:</w:t>
      </w:r>
    </w:p>
    <w:p>
      <w:pPr>
        <w:spacing w:before="0" w:after="0" w:line="276" w:lineRule="auto"/>
        <w:ind w:left="283"/>
      </w:pPr>
      <w:r>
        <w:rPr>
          <w:sz w:val="20"/>
        </w:rPr>
        <w:t xml:space="preserve">• </w:t>
      </w:r>
      <w:r>
        <w:rPr>
          <w:sz w:val="20"/>
        </w:rPr>
        <w:t>"Team psychological safety is a shared belief that the team is safe for interpersonal risk taking." (p. 354)</w:t>
      </w:r>
    </w:p>
    <w:p>
      <w:pPr>
        <w:spacing w:before="0" w:after="0" w:line="276" w:lineRule="auto"/>
        <w:ind w:left="283"/>
      </w:pPr>
      <w:r>
        <w:rPr>
          <w:sz w:val="20"/>
        </w:rPr>
        <w:t xml:space="preserve">• </w:t>
      </w:r>
      <w:r>
        <w:rPr>
          <w:sz w:val="20"/>
        </w:rPr>
        <w:t>"No one wants to take the interpersonal risk of imposing ideas when the boss appears to think he or she knows everything."</w:t>
      </w:r>
    </w:p>
    <w:p>
      <w:pPr>
        <w:spacing w:before="0" w:after="0" w:line="276" w:lineRule="auto"/>
        <w:ind w:left="283"/>
      </w:pPr>
      <w:r>
        <w:rPr>
          <w:sz w:val="20"/>
        </w:rPr>
        <w:t xml:space="preserve">• </w:t>
      </w:r>
      <w:r>
        <w:rPr>
          <w:sz w:val="20"/>
        </w:rPr>
        <w:t>Google's Project Aristotle: Psychological safety = #1 predictor of team effectiveness</w:t>
      </w:r>
    </w:p>
    <w:p>
      <w:pPr>
        <w:spacing w:before="0" w:after="0" w:line="276" w:lineRule="auto"/>
        <w:ind w:left="283"/>
      </w:pPr>
      <w:r>
        <w:rPr>
          <w:sz w:val="20"/>
        </w:rPr>
        <w:t xml:space="preserve">• </w:t>
      </w:r>
      <w:r>
        <w:rPr>
          <w:sz w:val="20"/>
        </w:rPr>
        <w:t>Outstanding Publication in Organizational Behavior Award, Academy of Management (2000)</w:t>
      </w:r>
    </w:p>
    <w:p>
      <w:pPr>
        <w:pStyle w:val="Heading2"/>
        <w:keepNext/>
        <w:spacing w:before="240" w:after="120"/>
      </w:pPr>
      <w:r>
        <w:rPr>
          <w:sz w:val="20"/>
        </w:rPr>
        <w:t>Article 3: When Diversity Meets Feedback (RECENT)</w:t>
      </w:r>
    </w:p>
    <w:p>
      <w:pPr>
        <w:spacing w:before="0" w:after="120"/>
      </w:pPr>
      <w:r>
        <w:rPr>
          <w:sz w:val="20"/>
        </w:rPr>
        <w:t xml:space="preserve">Meyer, E. (2023). When diversity meets feedback. </w:t>
      </w:r>
      <w:r>
        <w:rPr>
          <w:i/>
          <w:sz w:val="20"/>
        </w:rPr>
        <w:t>Harvard Business Review, 101</w:t>
      </w:r>
      <w:r>
        <w:rPr>
          <w:sz w:val="20"/>
        </w:rPr>
        <w:t>(5), 86-97. https://hbr.org/2023/09/when-diversity-meets-feedback</w:t>
      </w:r>
    </w:p>
    <w:p>
      <w:pPr>
        <w:spacing w:before="0" w:after="120"/>
      </w:pPr>
      <w:r>
        <w:rPr>
          <w:b/>
          <w:sz w:val="20"/>
        </w:rPr>
        <w:t>URL:</w:t>
      </w:r>
      <w:r>
        <w:rPr>
          <w:sz w:val="20"/>
        </w:rPr>
        <w:t xml:space="preserve"> https://hbr.org/2023/09/when-diversity-meets-feedback (verified working)</w:t>
      </w:r>
    </w:p>
    <w:p>
      <w:pPr>
        <w:spacing w:before="0" w:after="120"/>
      </w:pPr>
      <w:r>
        <w:rPr>
          <w:b/>
          <w:sz w:val="20"/>
        </w:rPr>
        <w:t>Type:</w:t>
      </w:r>
      <w:r>
        <w:rPr>
          <w:sz w:val="20"/>
        </w:rPr>
        <w:t xml:space="preserve"> HBR Feature Article</w:t>
      </w:r>
    </w:p>
    <w:p>
      <w:pPr>
        <w:spacing w:before="0" w:after="120"/>
      </w:pPr>
      <w:r>
        <w:rPr>
          <w:b/>
          <w:sz w:val="20"/>
        </w:rPr>
        <w:t>Access:</w:t>
      </w:r>
      <w:r>
        <w:rPr>
          <w:sz w:val="20"/>
        </w:rPr>
        <w:t xml:space="preserve"> Paywalled; companion PDF at erinmeyer.com</w:t>
      </w:r>
    </w:p>
    <w:p>
      <w:pPr>
        <w:spacing w:before="0" w:after="120"/>
      </w:pPr>
      <w:r>
        <w:rPr>
          <w:b/>
          <w:sz w:val="20"/>
        </w:rPr>
        <w:t>Primary Focus:</w:t>
      </w:r>
      <w:r>
        <w:rPr>
          <w:sz w:val="20"/>
        </w:rPr>
        <w:t xml:space="preserve"> Feedback culture, Cultural dimensions in communication</w:t>
      </w:r>
    </w:p>
    <w:p>
      <w:pPr>
        <w:spacing w:before="0" w:after="120"/>
      </w:pPr>
      <w:r>
        <w:rPr>
          <w:b/>
          <w:sz w:val="20"/>
        </w:rPr>
        <w:t>Content Match:</w:t>
      </w:r>
    </w:p>
    <w:p>
      <w:pPr>
        <w:spacing w:before="0" w:after="120"/>
      </w:pPr>
      <w:r>
        <w:rPr>
          <w:sz w:val="20"/>
        </w:rPr>
        <w:t xml:space="preserve">✓ </w:t>
      </w:r>
      <w:r>
        <w:rPr>
          <w:b/>
          <w:sz w:val="20"/>
        </w:rPr>
        <w:t>Feedback culture:</w:t>
      </w:r>
      <w:r>
        <w:rPr>
          <w:sz w:val="20"/>
        </w:rPr>
        <w:t xml:space="preserve"> Primary focus—cross-cultural feedback delivery</w:t>
      </w:r>
    </w:p>
    <w:p>
      <w:pPr>
        <w:spacing w:before="0" w:after="120"/>
      </w:pPr>
      <w:r>
        <w:rPr>
          <w:sz w:val="20"/>
        </w:rPr>
        <w:t xml:space="preserve">✓ </w:t>
      </w:r>
      <w:r>
        <w:rPr>
          <w:b/>
          <w:sz w:val="20"/>
        </w:rPr>
        <w:t>Cultural dimensions:</w:t>
      </w:r>
      <w:r>
        <w:rPr>
          <w:sz w:val="20"/>
        </w:rPr>
        <w:t xml:space="preserve"> Applied through upgrader/downgrader concept and Culture Map</w:t>
      </w:r>
    </w:p>
    <w:p>
      <w:pPr>
        <w:spacing w:before="0" w:after="120"/>
      </w:pPr>
      <w:r>
        <w:rPr>
          <w:sz w:val="20"/>
        </w:rPr>
        <w:t xml:space="preserve">✓ </w:t>
      </w:r>
      <w:r>
        <w:rPr>
          <w:b/>
          <w:sz w:val="20"/>
        </w:rPr>
        <w:t>Virtual team communication:</w:t>
      </w:r>
      <w:r>
        <w:rPr>
          <w:sz w:val="20"/>
        </w:rPr>
        <w:t xml:space="preserve"> Implications for mediated feedback</w:t>
      </w:r>
    </w:p>
    <w:p>
      <w:pPr>
        <w:spacing w:before="0" w:after="120"/>
      </w:pPr>
      <w:r>
        <w:rPr>
          <w:sz w:val="20"/>
        </w:rPr>
        <w:t xml:space="preserve">✓ </w:t>
      </w:r>
      <w:r>
        <w:rPr>
          <w:b/>
          <w:sz w:val="20"/>
        </w:rPr>
        <w:t>Collaborative presentations:</w:t>
      </w:r>
      <w:r>
        <w:rPr>
          <w:sz w:val="20"/>
        </w:rPr>
        <w:t xml:space="preserve"> Post-presentation feedback dynamics addressed</w:t>
      </w:r>
    </w:p>
    <w:p>
      <w:pPr>
        <w:spacing w:before="0" w:after="120"/>
      </w:pPr>
      <w:r>
        <w:rPr>
          <w:b/>
          <w:sz w:val="20"/>
        </w:rPr>
        <w:t>Why Selected:</w:t>
      </w:r>
      <w:r>
        <w:rPr>
          <w:sz w:val="20"/>
        </w:rPr>
        <w:t xml:space="preserve"> Most current (2023) application of cross-cultural frameworks to feedback. Written by INSEAD professor and author of </w:t>
      </w:r>
      <w:r>
        <w:rPr>
          <w:i/>
          <w:sz w:val="20"/>
        </w:rPr>
        <w:t>The Culture Map</w:t>
      </w:r>
      <w:r>
        <w:rPr>
          <w:sz w:val="20"/>
        </w:rPr>
        <w:t>. Provides practical Three A's framework and includes generational/gender dimensions often missing from traditional cultural models.</w:t>
      </w:r>
    </w:p>
    <w:p>
      <w:pPr>
        <w:spacing w:before="0" w:after="120"/>
      </w:pPr>
      <w:r>
        <w:rPr>
          <w:b/>
          <w:sz w:val="20"/>
        </w:rPr>
        <w:t>Key Teaching Content:</w:t>
      </w:r>
    </w:p>
    <w:p>
      <w:pPr>
        <w:spacing w:before="0" w:after="120"/>
      </w:pPr>
      <w:r>
        <w:rPr>
          <w:b/>
          <w:sz w:val="20"/>
        </w:rPr>
        <w:t>Framework: The Three A's of Feedback</w:t>
      </w:r>
    </w:p>
    <w:p>
      <w:pPr>
        <w:spacing w:before="0" w:after="0" w:line="276" w:lineRule="auto"/>
        <w:ind w:left="283"/>
      </w:pPr>
      <w:r>
        <w:rPr>
          <w:sz w:val="20"/>
        </w:rPr>
        <w:t xml:space="preserve">1. </w:t>
      </w:r>
      <w:r>
        <w:rPr>
          <w:b/>
          <w:sz w:val="20"/>
        </w:rPr>
        <w:t>Aim to Assist:</w:t>
      </w:r>
      <w:r>
        <w:rPr>
          <w:sz w:val="20"/>
        </w:rPr>
        <w:t xml:space="preserve"> Only give feedback with genuine intention to help—never to vent or assert dominance</w:t>
      </w:r>
    </w:p>
    <w:p>
      <w:pPr>
        <w:spacing w:before="0" w:after="0" w:line="276" w:lineRule="auto"/>
        <w:ind w:left="283"/>
      </w:pPr>
      <w:r>
        <w:rPr>
          <w:sz w:val="20"/>
        </w:rPr>
        <w:t xml:space="preserve">2. </w:t>
      </w:r>
      <w:r>
        <w:rPr>
          <w:b/>
          <w:sz w:val="20"/>
        </w:rPr>
        <w:t>Actionable:</w:t>
      </w:r>
      <w:r>
        <w:rPr>
          <w:sz w:val="20"/>
        </w:rPr>
        <w:t xml:space="preserve"> Must include clear actions recipient can take; if no action exists, withhold feedback</w:t>
      </w:r>
    </w:p>
    <w:p>
      <w:pPr>
        <w:spacing w:before="0" w:after="0" w:line="276" w:lineRule="auto"/>
        <w:ind w:left="283"/>
      </w:pPr>
      <w:r>
        <w:rPr>
          <w:sz w:val="20"/>
        </w:rPr>
        <w:t xml:space="preserve">3. </w:t>
      </w:r>
      <w:r>
        <w:rPr>
          <w:b/>
          <w:sz w:val="20"/>
        </w:rPr>
        <w:t>Ask First:</w:t>
      </w:r>
      <w:r>
        <w:rPr>
          <w:sz w:val="20"/>
        </w:rPr>
        <w:t xml:space="preserve"> Request feedback on your own work before giving to balance power dynamics</w:t>
      </w:r>
    </w:p>
    <w:p>
      <w:pPr>
        <w:spacing w:before="0" w:after="120"/>
      </w:pPr>
      <w:r>
        <w:rPr>
          <w:b/>
          <w:sz w:val="20"/>
        </w:rPr>
        <w:t>Upgraders vs. Downgraders:</w:t>
      </w:r>
    </w:p>
    <w:p>
      <w:pPr>
        <w:spacing w:before="0" w:after="0" w:line="276" w:lineRule="auto"/>
        <w:ind w:left="283"/>
      </w:pPr>
      <w:r>
        <w:rPr>
          <w:sz w:val="20"/>
        </w:rPr>
        <w:t xml:space="preserve">• </w:t>
      </w:r>
      <w:r>
        <w:rPr>
          <w:b/>
          <w:sz w:val="20"/>
        </w:rPr>
        <w:t>Upgraders</w:t>
      </w:r>
      <w:r>
        <w:rPr>
          <w:sz w:val="20"/>
        </w:rPr>
        <w:t xml:space="preserve"> (Direct cultures—Germany, Netherlands, Russia): "absolutely," "totally," "completely"</w:t>
      </w:r>
    </w:p>
    <w:p>
      <w:pPr>
        <w:spacing w:before="0" w:after="0" w:line="276" w:lineRule="auto"/>
        <w:ind w:left="283"/>
      </w:pPr>
      <w:r>
        <w:rPr>
          <w:sz w:val="20"/>
        </w:rPr>
        <w:t xml:space="preserve">• </w:t>
      </w:r>
      <w:r>
        <w:rPr>
          <w:b/>
          <w:sz w:val="20"/>
        </w:rPr>
        <w:t>Downgraders</w:t>
      </w:r>
      <w:r>
        <w:rPr>
          <w:sz w:val="20"/>
        </w:rPr>
        <w:t xml:space="preserve"> (Indirect cultures—Thailand, Japan): "kind of," "a little," "maybe," "say the good, leave out the bad"</w:t>
      </w:r>
    </w:p>
    <w:p>
      <w:pPr>
        <w:spacing w:before="0" w:after="120"/>
      </w:pPr>
      <w:r>
        <w:rPr>
          <w:b/>
          <w:sz w:val="20"/>
        </w:rPr>
        <w:t>Counterintuitive Insight:</w:t>
      </w:r>
    </w:p>
    <w:p>
      <w:pPr>
        <w:spacing w:before="0" w:after="120"/>
      </w:pPr>
      <w:r>
        <w:rPr>
          <w:sz w:val="20"/>
        </w:rPr>
        <w:t>Americans are LOW-context communicators but INDIRECT with negative feedback</w:t>
      </w:r>
    </w:p>
    <w:p>
      <w:pPr>
        <w:spacing w:before="0" w:after="120"/>
      </w:pPr>
      <w:r>
        <w:rPr>
          <w:sz w:val="20"/>
        </w:rPr>
        <w:t>French are HIGH-context communicators but DIRECT with criticism</w:t>
      </w:r>
    </w:p>
    <w:p>
      <w:pPr>
        <w:spacing w:before="0" w:after="120"/>
      </w:pPr>
      <w:r>
        <w:rPr>
          <w:b/>
          <w:sz w:val="20"/>
        </w:rPr>
        <w:t>Practical Applications:</w:t>
      </w:r>
    </w:p>
    <w:p>
      <w:pPr>
        <w:spacing w:before="0" w:after="0" w:line="276" w:lineRule="auto"/>
        <w:ind w:left="283"/>
      </w:pPr>
      <w:r>
        <w:rPr>
          <w:sz w:val="20"/>
        </w:rPr>
        <w:t xml:space="preserve">• </w:t>
      </w:r>
      <w:r>
        <w:rPr>
          <w:sz w:val="20"/>
        </w:rPr>
        <w:t>Map your culture on the Evaluating dimension before giving cross-cultural feedback</w:t>
      </w:r>
    </w:p>
    <w:p>
      <w:pPr>
        <w:spacing w:before="0" w:after="0" w:line="276" w:lineRule="auto"/>
        <w:ind w:left="283"/>
      </w:pPr>
      <w:r>
        <w:rPr>
          <w:sz w:val="20"/>
        </w:rPr>
        <w:t xml:space="preserve">• </w:t>
      </w:r>
      <w:r>
        <w:rPr>
          <w:sz w:val="20"/>
        </w:rPr>
        <w:t>Use "Ask First" approach with colleagues from indirect feedback cultures</w:t>
      </w:r>
    </w:p>
    <w:p>
      <w:pPr>
        <w:spacing w:before="0" w:after="0" w:line="276" w:lineRule="auto"/>
        <w:ind w:left="283"/>
      </w:pPr>
      <w:r>
        <w:rPr>
          <w:sz w:val="20"/>
        </w:rPr>
        <w:t xml:space="preserve">• </w:t>
      </w:r>
      <w:r>
        <w:rPr>
          <w:sz w:val="20"/>
        </w:rPr>
        <w:t>Consider power dynamics (seniority, gender, generational) alongside national culture</w:t>
      </w:r>
    </w:p>
    <w:p>
      <w:pPr>
        <w:spacing w:before="0" w:after="120"/>
      </w:pPr>
      <w:r>
        <w:rPr>
          <w:b/>
          <w:sz w:val="20"/>
        </w:rPr>
        <w:t>Case Study: Olga (Ukrainian HR executive in West Virginia)</w:t>
      </w:r>
    </w:p>
    <w:p>
      <w:pPr>
        <w:spacing w:before="0" w:after="0" w:line="276" w:lineRule="auto"/>
        <w:ind w:left="283"/>
      </w:pPr>
      <w:r>
        <w:rPr>
          <w:sz w:val="20"/>
        </w:rPr>
        <w:t xml:space="preserve">• </w:t>
      </w:r>
      <w:r>
        <w:rPr>
          <w:b/>
          <w:sz w:val="20"/>
        </w:rPr>
        <w:t>Context:</w:t>
      </w:r>
      <w:r>
        <w:rPr>
          <w:sz w:val="20"/>
        </w:rPr>
        <w:t xml:space="preserve"> Ukrainian manager working with American team</w:t>
      </w:r>
    </w:p>
    <w:p>
      <w:pPr>
        <w:spacing w:before="0" w:after="0" w:line="276" w:lineRule="auto"/>
        <w:ind w:left="283"/>
      </w:pPr>
      <w:r>
        <w:rPr>
          <w:sz w:val="20"/>
        </w:rPr>
        <w:t xml:space="preserve">• </w:t>
      </w:r>
      <w:r>
        <w:rPr>
          <w:b/>
          <w:sz w:val="20"/>
        </w:rPr>
        <w:t>Challenge:</w:t>
      </w:r>
      <w:r>
        <w:rPr>
          <w:sz w:val="20"/>
        </w:rPr>
        <w:t xml:space="preserve"> Gave direct feedback using "This absolutely cannot continue" and replied-all</w:t>
      </w:r>
    </w:p>
    <w:p>
      <w:pPr>
        <w:spacing w:before="0" w:after="0" w:line="276" w:lineRule="auto"/>
        <w:ind w:left="283"/>
      </w:pPr>
      <w:r>
        <w:rPr>
          <w:sz w:val="20"/>
        </w:rPr>
        <w:t xml:space="preserve">• </w:t>
      </w:r>
      <w:r>
        <w:rPr>
          <w:b/>
          <w:sz w:val="20"/>
        </w:rPr>
        <w:t>Action:</w:t>
      </w:r>
      <w:r>
        <w:rPr>
          <w:sz w:val="20"/>
        </w:rPr>
        <w:t xml:space="preserve"> Appropriate in Ukraine; perceived as aggressive in American workplace</w:t>
      </w:r>
    </w:p>
    <w:p>
      <w:pPr>
        <w:spacing w:before="0" w:after="0" w:line="276" w:lineRule="auto"/>
        <w:ind w:left="283"/>
      </w:pPr>
      <w:r>
        <w:rPr>
          <w:sz w:val="20"/>
        </w:rPr>
        <w:t xml:space="preserve">• </w:t>
      </w:r>
      <w:r>
        <w:rPr>
          <w:b/>
          <w:sz w:val="20"/>
        </w:rPr>
        <w:t>Result:</w:t>
      </w:r>
      <w:r>
        <w:rPr>
          <w:sz w:val="20"/>
        </w:rPr>
        <w:t xml:space="preserve"> Cultural misalignment despite both being "Western" cultures</w:t>
      </w:r>
    </w:p>
    <w:p>
      <w:pPr>
        <w:spacing w:before="0" w:after="0" w:line="276" w:lineRule="auto"/>
        <w:ind w:left="283"/>
      </w:pPr>
      <w:r>
        <w:rPr>
          <w:sz w:val="20"/>
        </w:rPr>
        <w:t xml:space="preserve">• </w:t>
      </w:r>
      <w:r>
        <w:rPr>
          <w:b/>
          <w:sz w:val="20"/>
        </w:rPr>
        <w:t>Lesson:</w:t>
      </w:r>
      <w:r>
        <w:rPr>
          <w:sz w:val="20"/>
        </w:rPr>
        <w:t xml:space="preserve"> Evaluating dimension differs from Communicating dimension</w:t>
      </w:r>
    </w:p>
    <w:p>
      <w:pPr>
        <w:spacing w:before="0" w:after="120"/>
      </w:pPr>
      <w:r>
        <w:rPr>
          <w:b/>
          <w:sz w:val="20"/>
        </w:rPr>
        <w:t>Case Study: Jethro (American manager in Thailand)</w:t>
      </w:r>
    </w:p>
    <w:p>
      <w:pPr>
        <w:spacing w:before="0" w:after="0" w:line="276" w:lineRule="auto"/>
        <w:ind w:left="283"/>
      </w:pPr>
      <w:r>
        <w:rPr>
          <w:sz w:val="20"/>
        </w:rPr>
        <w:t xml:space="preserve">• </w:t>
      </w:r>
      <w:r>
        <w:rPr>
          <w:b/>
          <w:sz w:val="20"/>
        </w:rPr>
        <w:t>Context:</w:t>
      </w:r>
      <w:r>
        <w:rPr>
          <w:sz w:val="20"/>
        </w:rPr>
        <w:t xml:space="preserve"> American VP giving performance feedback via video</w:t>
      </w:r>
    </w:p>
    <w:p>
      <w:pPr>
        <w:spacing w:before="0" w:after="0" w:line="276" w:lineRule="auto"/>
        <w:ind w:left="283"/>
      </w:pPr>
      <w:r>
        <w:rPr>
          <w:sz w:val="20"/>
        </w:rPr>
        <w:t xml:space="preserve">• </w:t>
      </w:r>
      <w:r>
        <w:rPr>
          <w:b/>
          <w:sz w:val="20"/>
        </w:rPr>
        <w:t>Challenge:</w:t>
      </w:r>
      <w:r>
        <w:rPr>
          <w:sz w:val="20"/>
        </w:rPr>
        <w:t xml:space="preserve"> Accused of "bullying" for explicitly stating areas for improvement</w:t>
      </w:r>
    </w:p>
    <w:p>
      <w:pPr>
        <w:spacing w:before="0" w:after="0" w:line="276" w:lineRule="auto"/>
        <w:ind w:left="283"/>
      </w:pPr>
      <w:r>
        <w:rPr>
          <w:sz w:val="20"/>
        </w:rPr>
        <w:t xml:space="preserve">• </w:t>
      </w:r>
      <w:r>
        <w:rPr>
          <w:b/>
          <w:sz w:val="20"/>
        </w:rPr>
        <w:t>Action:</w:t>
      </w:r>
      <w:r>
        <w:rPr>
          <w:sz w:val="20"/>
        </w:rPr>
        <w:t xml:space="preserve"> Thai HR explained direct criticism feels aggressive</w:t>
      </w:r>
    </w:p>
    <w:p>
      <w:pPr>
        <w:spacing w:before="0" w:after="0" w:line="276" w:lineRule="auto"/>
        <w:ind w:left="283"/>
      </w:pPr>
      <w:r>
        <w:rPr>
          <w:sz w:val="20"/>
        </w:rPr>
        <w:t xml:space="preserve">• </w:t>
      </w:r>
      <w:r>
        <w:rPr>
          <w:b/>
          <w:sz w:val="20"/>
        </w:rPr>
        <w:t>Result:</w:t>
      </w:r>
      <w:r>
        <w:rPr>
          <w:sz w:val="20"/>
        </w:rPr>
        <w:t xml:space="preserve"> Adapted to "praise what's good, leave out what's bad"</w:t>
      </w:r>
    </w:p>
    <w:p>
      <w:pPr>
        <w:spacing w:before="0" w:after="0" w:line="276" w:lineRule="auto"/>
        <w:ind w:left="283"/>
      </w:pPr>
      <w:r>
        <w:rPr>
          <w:sz w:val="20"/>
        </w:rPr>
        <w:t xml:space="preserve">• </w:t>
      </w:r>
      <w:r>
        <w:rPr>
          <w:b/>
          <w:sz w:val="20"/>
        </w:rPr>
        <w:t>Lesson:</w:t>
      </w:r>
      <w:r>
        <w:rPr>
          <w:sz w:val="20"/>
        </w:rPr>
        <w:t xml:space="preserve"> Even well-intentioned direct feedback violates Thai norms</w:t>
      </w:r>
    </w:p>
    <w:p>
      <w:pPr>
        <w:spacing w:before="0" w:after="120"/>
      </w:pPr>
      <w:r>
        <w:rPr>
          <w:b/>
          <w:sz w:val="20"/>
        </w:rPr>
        <w:t>Case Study: Cassandra (Software VP receiving unsolicited feedback)</w:t>
      </w:r>
    </w:p>
    <w:p>
      <w:pPr>
        <w:spacing w:before="0" w:after="0" w:line="276" w:lineRule="auto"/>
        <w:ind w:left="283"/>
      </w:pPr>
      <w:r>
        <w:rPr>
          <w:sz w:val="20"/>
        </w:rPr>
        <w:t xml:space="preserve">• </w:t>
      </w:r>
      <w:r>
        <w:rPr>
          <w:b/>
          <w:sz w:val="20"/>
        </w:rPr>
        <w:t>Context:</w:t>
      </w:r>
      <w:r>
        <w:rPr>
          <w:sz w:val="20"/>
        </w:rPr>
        <w:t xml:space="preserve"> Female executive received detailed post-presentation "tips" from male colleague Miles</w:t>
      </w:r>
    </w:p>
    <w:p>
      <w:pPr>
        <w:spacing w:before="0" w:after="0" w:line="276" w:lineRule="auto"/>
        <w:ind w:left="283"/>
      </w:pPr>
      <w:r>
        <w:rPr>
          <w:sz w:val="20"/>
        </w:rPr>
        <w:t xml:space="preserve">• </w:t>
      </w:r>
      <w:r>
        <w:rPr>
          <w:b/>
          <w:sz w:val="20"/>
        </w:rPr>
        <w:t>Challenge:</w:t>
      </w:r>
      <w:r>
        <w:rPr>
          <w:sz w:val="20"/>
        </w:rPr>
        <w:t xml:space="preserve"> Felt self-confidence "hijacked" by unrequested advice</w:t>
      </w:r>
    </w:p>
    <w:p>
      <w:pPr>
        <w:spacing w:before="0" w:after="0" w:line="276" w:lineRule="auto"/>
        <w:ind w:left="283"/>
      </w:pPr>
      <w:r>
        <w:rPr>
          <w:sz w:val="20"/>
        </w:rPr>
        <w:t xml:space="preserve">• </w:t>
      </w:r>
      <w:r>
        <w:rPr>
          <w:b/>
          <w:sz w:val="20"/>
        </w:rPr>
        <w:t>Action:</w:t>
      </w:r>
      <w:r>
        <w:rPr>
          <w:sz w:val="20"/>
        </w:rPr>
        <w:t xml:space="preserve"> Feedback was actionable but not requested</w:t>
      </w:r>
    </w:p>
    <w:p>
      <w:pPr>
        <w:spacing w:before="0" w:after="0" w:line="276" w:lineRule="auto"/>
        <w:ind w:left="283"/>
      </w:pPr>
      <w:r>
        <w:rPr>
          <w:sz w:val="20"/>
        </w:rPr>
        <w:t xml:space="preserve">• </w:t>
      </w:r>
      <w:r>
        <w:rPr>
          <w:b/>
          <w:sz w:val="20"/>
        </w:rPr>
        <w:t>Result:</w:t>
      </w:r>
      <w:r>
        <w:rPr>
          <w:sz w:val="20"/>
        </w:rPr>
        <w:t xml:space="preserve"> Resentment rather than gratitude</w:t>
      </w:r>
    </w:p>
    <w:p>
      <w:pPr>
        <w:spacing w:before="0" w:after="0" w:line="276" w:lineRule="auto"/>
        <w:ind w:left="283"/>
      </w:pPr>
      <w:r>
        <w:rPr>
          <w:sz w:val="20"/>
        </w:rPr>
        <w:t xml:space="preserve">• </w:t>
      </w:r>
      <w:r>
        <w:rPr>
          <w:b/>
          <w:sz w:val="20"/>
        </w:rPr>
        <w:t>Lesson:</w:t>
      </w:r>
      <w:r>
        <w:rPr>
          <w:sz w:val="20"/>
        </w:rPr>
        <w:t xml:space="preserve"> Unsolicited feedback creates power imbalance regardless of intent</w:t>
      </w:r>
    </w:p>
    <w:p>
      <w:pPr>
        <w:spacing w:before="0" w:after="120"/>
      </w:pPr>
      <w:r>
        <w:rPr>
          <w:b/>
          <w:sz w:val="20"/>
        </w:rPr>
        <w:t>Key Quotes/Stats:</w:t>
      </w:r>
    </w:p>
    <w:p>
      <w:pPr>
        <w:spacing w:before="0" w:after="0" w:line="276" w:lineRule="auto"/>
        <w:ind w:left="283"/>
      </w:pPr>
      <w:r>
        <w:rPr>
          <w:sz w:val="20"/>
        </w:rPr>
        <w:t xml:space="preserve">• </w:t>
      </w:r>
      <w:r>
        <w:rPr>
          <w:sz w:val="20"/>
        </w:rPr>
        <w:t>"When it comes to sharing feedback and advice, diversity often leads to complications, which, if not understood and managed, can create an environment rife with bad feelings, defensiveness, and ruptured relationships."</w:t>
      </w:r>
    </w:p>
    <w:p>
      <w:pPr>
        <w:spacing w:before="0" w:after="0" w:line="276" w:lineRule="auto"/>
        <w:ind w:left="283"/>
      </w:pPr>
      <w:r>
        <w:rPr>
          <w:sz w:val="20"/>
        </w:rPr>
        <w:t xml:space="preserve">• </w:t>
      </w:r>
      <w:r>
        <w:rPr>
          <w:sz w:val="20"/>
        </w:rPr>
        <w:t>"The message is not 'Do unto others as you would have them do unto you' but 'Do unto others as they would have done unto themselves.'"</w:t>
      </w:r>
    </w:p>
    <w:p>
      <w:pPr>
        <w:spacing w:before="0" w:after="0" w:line="276" w:lineRule="auto"/>
        <w:ind w:left="283"/>
      </w:pPr>
      <w:r>
        <w:rPr>
          <w:sz w:val="20"/>
        </w:rPr>
        <w:t xml:space="preserve">• </w:t>
      </w:r>
      <w:r>
        <w:rPr>
          <w:sz w:val="20"/>
        </w:rPr>
        <w:t>94% of employees say corrective feedback improved performance when presented well (Zenger Folkman)</w:t>
      </w:r>
    </w:p>
    <w:p>
      <w:pPr>
        <w:spacing w:before="0" w:after="0" w:line="276" w:lineRule="auto"/>
        <w:ind w:left="283"/>
      </w:pPr>
      <w:r>
        <w:rPr>
          <w:sz w:val="20"/>
        </w:rPr>
        <w:t xml:space="preserve">• </w:t>
      </w:r>
      <w:r>
        <w:rPr>
          <w:sz w:val="20"/>
        </w:rPr>
        <w:t>Men are 5× more likely to give unrequested advice to women than women are to men</w:t>
      </w:r>
    </w:p>
    <w:p>
      <w:pPr>
        <w:spacing w:before="0" w:after="0" w:line="276" w:lineRule="auto"/>
        <w:ind w:left="283"/>
      </w:pPr>
      <w:r>
        <w:rPr>
          <w:sz w:val="20"/>
        </w:rPr>
        <w:t xml:space="preserve">• </w:t>
      </w:r>
      <w:r>
        <w:rPr>
          <w:sz w:val="20"/>
        </w:rPr>
        <w:t>Over 90% of women report receiving unsolicited advice from male colleagues</w:t>
      </w:r>
    </w:p>
    <w:p>
      <w:pPr>
        <w:pStyle w:val="Heading2"/>
        <w:keepNext/>
        <w:spacing w:before="240" w:after="120"/>
      </w:pPr>
      <w:r>
        <w:rPr>
          <w:sz w:val="20"/>
        </w:rPr>
        <w:t>Article 4: Research: How Cultural Differences Can Impact Global Teams (RECENT)</w:t>
      </w:r>
    </w:p>
    <w:p>
      <w:pPr>
        <w:spacing w:before="0" w:after="120"/>
      </w:pPr>
      <w:r>
        <w:rPr>
          <w:sz w:val="20"/>
        </w:rPr>
        <w:t xml:space="preserve">Taras, V., Baack, D., Caprar, D., Jiménez, A., &amp; Froese, F. (2021). Research: How cultural differences can impact global teams. </w:t>
      </w:r>
      <w:r>
        <w:rPr>
          <w:i/>
          <w:sz w:val="20"/>
        </w:rPr>
        <w:t>Harvard Business Review</w:t>
      </w:r>
      <w:r>
        <w:rPr>
          <w:sz w:val="20"/>
        </w:rPr>
        <w:t>. https://hbr.org/2021/06/research-how-cultural-differences-can-impact-global-teams</w:t>
      </w:r>
    </w:p>
    <w:p>
      <w:pPr>
        <w:spacing w:before="0" w:after="120"/>
      </w:pPr>
      <w:r>
        <w:rPr>
          <w:b/>
          <w:sz w:val="20"/>
        </w:rPr>
        <w:t>URL:</w:t>
      </w:r>
      <w:r>
        <w:rPr>
          <w:sz w:val="20"/>
        </w:rPr>
        <w:t xml:space="preserve"> https://hbr.org/2021/06/research-how-cultural-differences-can-impact-global-teams (verified working)</w:t>
      </w:r>
    </w:p>
    <w:p>
      <w:pPr>
        <w:spacing w:before="0" w:after="120"/>
      </w:pPr>
      <w:r>
        <w:rPr>
          <w:b/>
          <w:sz w:val="20"/>
        </w:rPr>
        <w:t>Type:</w:t>
      </w:r>
      <w:r>
        <w:rPr>
          <w:sz w:val="20"/>
        </w:rPr>
        <w:t xml:space="preserve"> HBR Research Article</w:t>
      </w:r>
    </w:p>
    <w:p>
      <w:pPr>
        <w:spacing w:before="0" w:after="120"/>
      </w:pPr>
      <w:r>
        <w:rPr>
          <w:b/>
          <w:sz w:val="20"/>
        </w:rPr>
        <w:t>Access:</w:t>
      </w:r>
      <w:r>
        <w:rPr>
          <w:sz w:val="20"/>
        </w:rPr>
        <w:t xml:space="preserve"> Paywalled ($11.95); academic version in </w:t>
      </w:r>
      <w:r>
        <w:rPr>
          <w:i/>
          <w:sz w:val="20"/>
        </w:rPr>
        <w:t>Journal of International Management</w:t>
      </w:r>
      <w:r>
        <w:rPr>
          <w:sz w:val="20"/>
        </w:rPr>
        <w:t xml:space="preserve"> (2019)</w:t>
      </w:r>
    </w:p>
    <w:p>
      <w:pPr>
        <w:spacing w:before="0" w:after="120"/>
      </w:pPr>
      <w:r>
        <w:rPr>
          <w:b/>
          <w:sz w:val="20"/>
        </w:rPr>
        <w:t>Primary Focus:</w:t>
      </w:r>
      <w:r>
        <w:rPr>
          <w:sz w:val="20"/>
        </w:rPr>
        <w:t xml:space="preserve"> Virtual team communication, Cultural dimensions effects</w:t>
      </w:r>
    </w:p>
    <w:p>
      <w:pPr>
        <w:spacing w:before="0" w:after="120"/>
      </w:pPr>
      <w:r>
        <w:rPr>
          <w:b/>
          <w:sz w:val="20"/>
        </w:rPr>
        <w:t>Content Match:</w:t>
      </w:r>
    </w:p>
    <w:p>
      <w:pPr>
        <w:spacing w:before="0" w:after="120"/>
      </w:pPr>
      <w:r>
        <w:rPr>
          <w:sz w:val="20"/>
        </w:rPr>
        <w:t xml:space="preserve">✓ </w:t>
      </w:r>
      <w:r>
        <w:rPr>
          <w:b/>
          <w:sz w:val="20"/>
        </w:rPr>
        <w:t>Virtual team communication:</w:t>
      </w:r>
      <w:r>
        <w:rPr>
          <w:sz w:val="20"/>
        </w:rPr>
        <w:t xml:space="preserve"> Primary focus—global virtual team effectiveness</w:t>
      </w:r>
    </w:p>
    <w:p>
      <w:pPr>
        <w:spacing w:before="0" w:after="120"/>
      </w:pPr>
      <w:r>
        <w:rPr>
          <w:sz w:val="20"/>
        </w:rPr>
        <w:t xml:space="preserve">✓ </w:t>
      </w:r>
      <w:r>
        <w:rPr>
          <w:b/>
          <w:sz w:val="20"/>
        </w:rPr>
        <w:t>Cultural dimensions:</w:t>
      </w:r>
      <w:r>
        <w:rPr>
          <w:sz w:val="20"/>
        </w:rPr>
        <w:t xml:space="preserve"> Applied to team outcomes with nuanced findings</w:t>
      </w:r>
    </w:p>
    <w:p>
      <w:pPr>
        <w:spacing w:before="0" w:after="120"/>
      </w:pPr>
      <w:r>
        <w:rPr>
          <w:sz w:val="20"/>
        </w:rPr>
        <w:t xml:space="preserve">✓ </w:t>
      </w:r>
      <w:r>
        <w:rPr>
          <w:b/>
          <w:sz w:val="20"/>
        </w:rPr>
        <w:t>Collaborative presentations:</w:t>
      </w:r>
      <w:r>
        <w:rPr>
          <w:sz w:val="20"/>
        </w:rPr>
        <w:t xml:space="preserve"> Team project quality as outcome measure</w:t>
      </w:r>
    </w:p>
    <w:p>
      <w:pPr>
        <w:spacing w:before="0" w:after="120"/>
      </w:pPr>
      <w:r>
        <w:rPr>
          <w:sz w:val="20"/>
        </w:rPr>
        <w:t xml:space="preserve">✗ </w:t>
      </w:r>
      <w:r>
        <w:rPr>
          <w:b/>
          <w:sz w:val="20"/>
        </w:rPr>
        <w:t>Feedback culture:</w:t>
      </w:r>
      <w:r>
        <w:rPr>
          <w:sz w:val="20"/>
        </w:rPr>
        <w:t xml:space="preserve"> Not directly addressed</w:t>
      </w:r>
    </w:p>
    <w:p>
      <w:pPr>
        <w:spacing w:before="0" w:after="120"/>
      </w:pPr>
      <w:r>
        <w:rPr>
          <w:b/>
          <w:sz w:val="20"/>
        </w:rPr>
        <w:t>Why Selected:</w:t>
      </w:r>
      <w:r>
        <w:rPr>
          <w:sz w:val="20"/>
        </w:rPr>
        <w:t xml:space="preserve"> Largest empirical study of global virtual teams (5,728 individuals, 804 teams, 90 countries). Challenges assumptions about diversity effects with the Personal vs. Contextual framework. Essential for evidence-based discussion of virtual team management.</w:t>
      </w:r>
    </w:p>
    <w:p>
      <w:pPr>
        <w:spacing w:before="0" w:after="120"/>
      </w:pPr>
      <w:r>
        <w:rPr>
          <w:b/>
          <w:sz w:val="20"/>
        </w:rPr>
        <w:t>Key Teaching Content:</w:t>
      </w:r>
    </w:p>
    <w:p>
      <w:pPr>
        <w:spacing w:before="0" w:after="120"/>
      </w:pPr>
      <w:r>
        <w:rPr>
          <w:b/>
          <w:sz w:val="20"/>
        </w:rPr>
        <w:t>Framework: Personal vs. Contextual Diversity</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80"/>
        <w:gridCol w:w="2480"/>
        <w:gridCol w:w="2480"/>
        <w:gridCol w:w="2480"/>
      </w:tblGrid>
      <w:tr>
        <w:trPr>
          <w:cantSplit/>
          <w:tblHeader/>
        </w:trPr>
        <w:tc>
          <w:tcPr>
            <w:tcW w:type="auto" w:w="0"/>
            <w:shd w:val="clear" w:color="auto" w:fill="E2E8F0"/>
          </w:tcPr>
          <w:p>
            <w:pPr>
              <w:spacing w:before="0" w:after="0" w:line="276" w:lineRule="auto"/>
            </w:pPr>
            <w:r>
              <w:rPr>
                <w:b/>
                <w:sz w:val="16"/>
              </w:rPr>
              <w:t>Diversity Type</w:t>
            </w:r>
          </w:p>
        </w:tc>
        <w:tc>
          <w:tcPr>
            <w:tcW w:type="auto" w:w="0"/>
            <w:shd w:val="clear" w:color="auto" w:fill="E2E8F0"/>
          </w:tcPr>
          <w:p>
            <w:pPr>
              <w:spacing w:before="0" w:after="0" w:line="276" w:lineRule="auto"/>
            </w:pPr>
            <w:r>
              <w:rPr>
                <w:b/>
                <w:sz w:val="16"/>
              </w:rPr>
              <w:t>Definition</w:t>
            </w:r>
          </w:p>
        </w:tc>
        <w:tc>
          <w:tcPr>
            <w:tcW w:type="auto" w:w="0"/>
            <w:shd w:val="clear" w:color="auto" w:fill="E2E8F0"/>
          </w:tcPr>
          <w:p>
            <w:pPr>
              <w:spacing w:before="0" w:after="0" w:line="276" w:lineRule="auto"/>
            </w:pPr>
            <w:r>
              <w:rPr>
                <w:b/>
                <w:sz w:val="16"/>
              </w:rPr>
              <w:t>Primary Impact</w:t>
            </w:r>
          </w:p>
        </w:tc>
        <w:tc>
          <w:tcPr>
            <w:tcW w:type="auto" w:w="0"/>
            <w:shd w:val="clear" w:color="auto" w:fill="E2E8F0"/>
          </w:tcPr>
          <w:p>
            <w:pPr>
              <w:spacing w:before="0" w:after="0" w:line="276" w:lineRule="auto"/>
            </w:pPr>
            <w:r>
              <w:rPr>
                <w:b/>
                <w:sz w:val="16"/>
              </w:rPr>
              <w:t>Effect Direction</w:t>
            </w:r>
          </w:p>
        </w:tc>
      </w:tr>
      <w:tr>
        <w:trPr>
          <w:cantSplit/>
        </w:trPr>
        <w:tc>
          <w:tcPr>
            <w:tcW w:type="auto" w:w="0"/>
          </w:tcPr>
          <w:p>
            <w:pPr>
              <w:spacing w:before="0" w:after="0" w:line="276" w:lineRule="auto"/>
            </w:pPr>
            <w:r>
              <w:rPr>
                <w:b/>
                <w:sz w:val="16"/>
              </w:rPr>
              <w:t>Personal</w:t>
            </w:r>
          </w:p>
        </w:tc>
        <w:tc>
          <w:tcPr>
            <w:tcW w:type="auto" w:w="0"/>
          </w:tcPr>
          <w:p>
            <w:pPr>
              <w:spacing w:before="0" w:after="0" w:line="276" w:lineRule="auto"/>
            </w:pPr>
            <w:r>
              <w:rPr>
                <w:sz w:val="16"/>
              </w:rPr>
              <w:t>Individual characteristics (age, gender, race)</w:t>
            </w:r>
          </w:p>
        </w:tc>
        <w:tc>
          <w:tcPr>
            <w:tcW w:type="auto" w:w="0"/>
          </w:tcPr>
          <w:p>
            <w:pPr>
              <w:spacing w:before="0" w:after="0" w:line="276" w:lineRule="auto"/>
            </w:pPr>
            <w:r>
              <w:rPr>
                <w:sz w:val="16"/>
              </w:rPr>
              <w:t>Psychological outcomes (satisfaction, cohesion)</w:t>
            </w:r>
          </w:p>
        </w:tc>
        <w:tc>
          <w:tcPr>
            <w:tcW w:type="auto" w:w="0"/>
          </w:tcPr>
          <w:p>
            <w:pPr>
              <w:spacing w:before="0" w:after="0" w:line="276" w:lineRule="auto"/>
            </w:pPr>
            <w:r>
              <w:rPr>
                <w:sz w:val="16"/>
              </w:rPr>
              <w:t>Negative without management</w:t>
            </w:r>
          </w:p>
        </w:tc>
      </w:tr>
      <w:tr>
        <w:trPr>
          <w:cantSplit/>
        </w:trPr>
        <w:tc>
          <w:tcPr>
            <w:tcW w:type="auto" w:w="0"/>
          </w:tcPr>
          <w:p>
            <w:pPr>
              <w:spacing w:before="0" w:after="0" w:line="276" w:lineRule="auto"/>
            </w:pPr>
            <w:r>
              <w:rPr>
                <w:b/>
                <w:sz w:val="16"/>
              </w:rPr>
              <w:t>Contextual</w:t>
            </w:r>
          </w:p>
        </w:tc>
        <w:tc>
          <w:tcPr>
            <w:tcW w:type="auto" w:w="0"/>
          </w:tcPr>
          <w:p>
            <w:pPr>
              <w:spacing w:before="0" w:after="0" w:line="276" w:lineRule="auto"/>
            </w:pPr>
            <w:r>
              <w:rPr>
                <w:sz w:val="16"/>
              </w:rPr>
              <w:t>Background factors (country, industry, function)</w:t>
            </w:r>
          </w:p>
        </w:tc>
        <w:tc>
          <w:tcPr>
            <w:tcW w:type="auto" w:w="0"/>
          </w:tcPr>
          <w:p>
            <w:pPr>
              <w:spacing w:before="0" w:after="0" w:line="276" w:lineRule="auto"/>
            </w:pPr>
            <w:r>
              <w:rPr>
                <w:sz w:val="16"/>
              </w:rPr>
              <w:t>Task outcomes (quality, creativity)</w:t>
            </w:r>
          </w:p>
        </w:tc>
        <w:tc>
          <w:tcPr>
            <w:tcW w:type="auto" w:w="0"/>
          </w:tcPr>
          <w:p>
            <w:pPr>
              <w:spacing w:before="0" w:after="0" w:line="276" w:lineRule="auto"/>
            </w:pPr>
            <w:r>
              <w:rPr>
                <w:sz w:val="16"/>
              </w:rPr>
              <w:t>Positive for performance</w:t>
            </w:r>
          </w:p>
        </w:tc>
      </w:tr>
    </w:tbl>
    <w:p>
      <w:pPr>
        <w:spacing w:before="0" w:after="120"/>
      </w:pPr>
      <w:r>
        <w:rPr>
          <w:b/>
          <w:sz w:val="20"/>
        </w:rPr>
        <w:t>Main Insight:</w:t>
      </w:r>
    </w:p>
    <w:p>
      <w:pPr>
        <w:spacing w:before="0" w:after="120"/>
      </w:pPr>
      <w:r>
        <w:rPr>
          <w:sz w:val="20"/>
        </w:rPr>
        <w:t>Teams with higher contextual diversity produced higher-quality consulting reports, and their solutions were more creative and innovative. The benefits of contextual diversity typically outweigh the challenges from personal diversity.</w:t>
      </w:r>
    </w:p>
    <w:p>
      <w:pPr>
        <w:spacing w:before="0" w:after="120"/>
      </w:pPr>
      <w:r>
        <w:rPr>
          <w:b/>
          <w:sz w:val="20"/>
        </w:rPr>
        <w:t>Key Finding:</w:t>
      </w:r>
    </w:p>
    <w:p>
      <w:pPr>
        <w:spacing w:before="0" w:after="0" w:line="276" w:lineRule="auto"/>
        <w:ind w:left="283"/>
      </w:pPr>
      <w:r>
        <w:rPr>
          <w:sz w:val="20"/>
        </w:rPr>
        <w:t xml:space="preserve">• </w:t>
      </w:r>
      <w:r>
        <w:rPr>
          <w:sz w:val="20"/>
        </w:rPr>
        <w:t>95% of GVT research over 24 years focused on adverse effects—this study fills gap on positive impacts</w:t>
      </w:r>
    </w:p>
    <w:p>
      <w:pPr>
        <w:spacing w:before="0" w:after="0" w:line="276" w:lineRule="auto"/>
        <w:ind w:left="283"/>
      </w:pPr>
      <w:r>
        <w:rPr>
          <w:sz w:val="20"/>
        </w:rPr>
        <w:t xml:space="preserve">• </w:t>
      </w:r>
      <w:r>
        <w:rPr>
          <w:b/>
          <w:sz w:val="20"/>
        </w:rPr>
        <w:t>Gender egalitarianism</w:t>
      </w:r>
      <w:r>
        <w:rPr>
          <w:sz w:val="20"/>
        </w:rPr>
        <w:t xml:space="preserve"> and </w:t>
      </w:r>
      <w:r>
        <w:rPr>
          <w:b/>
          <w:sz w:val="20"/>
        </w:rPr>
        <w:t>absence of power distance</w:t>
      </w:r>
      <w:r>
        <w:rPr>
          <w:sz w:val="20"/>
        </w:rPr>
        <w:t xml:space="preserve"> proved most important for positive outcomes</w:t>
      </w:r>
    </w:p>
    <w:p>
      <w:pPr>
        <w:spacing w:before="0" w:after="120"/>
      </w:pPr>
      <w:r>
        <w:rPr>
          <w:b/>
          <w:sz w:val="20"/>
        </w:rPr>
        <w:t>Practical Applications:</w:t>
      </w:r>
    </w:p>
    <w:p>
      <w:pPr>
        <w:spacing w:before="0" w:after="0" w:line="276" w:lineRule="auto"/>
        <w:ind w:left="283"/>
      </w:pPr>
      <w:r>
        <w:rPr>
          <w:sz w:val="20"/>
        </w:rPr>
        <w:t xml:space="preserve">1. </w:t>
      </w:r>
      <w:r>
        <w:rPr>
          <w:sz w:val="20"/>
        </w:rPr>
        <w:t>Leverage contextual diversity (country, functional expertise) as competitive advantage</w:t>
      </w:r>
    </w:p>
    <w:p>
      <w:pPr>
        <w:spacing w:before="0" w:after="0" w:line="276" w:lineRule="auto"/>
        <w:ind w:left="283"/>
      </w:pPr>
      <w:r>
        <w:rPr>
          <w:sz w:val="20"/>
        </w:rPr>
        <w:t xml:space="preserve">2. </w:t>
      </w:r>
      <w:r>
        <w:rPr>
          <w:sz w:val="20"/>
        </w:rPr>
        <w:t>Implement specific practices to manage personal diversity challenges</w:t>
      </w:r>
    </w:p>
    <w:p>
      <w:pPr>
        <w:spacing w:before="0" w:after="0" w:line="276" w:lineRule="auto"/>
        <w:ind w:left="283"/>
      </w:pPr>
      <w:r>
        <w:rPr>
          <w:sz w:val="20"/>
        </w:rPr>
        <w:t xml:space="preserve">3. </w:t>
      </w:r>
      <w:r>
        <w:rPr>
          <w:sz w:val="20"/>
        </w:rPr>
        <w:t>Proactive measures: enhanced communication, positive interpersonal dynamics, collegial climate</w:t>
      </w:r>
    </w:p>
    <w:p>
      <w:pPr>
        <w:spacing w:before="0" w:after="0" w:line="276" w:lineRule="auto"/>
        <w:ind w:left="283"/>
      </w:pPr>
      <w:r>
        <w:rPr>
          <w:sz w:val="20"/>
        </w:rPr>
        <w:t xml:space="preserve">4. </w:t>
      </w:r>
      <w:r>
        <w:rPr>
          <w:sz w:val="20"/>
        </w:rPr>
        <w:t>Don't assume all diversity is equally challenging—distinguish types</w:t>
      </w:r>
    </w:p>
    <w:p>
      <w:pPr>
        <w:spacing w:before="0" w:after="120"/>
      </w:pPr>
      <w:r>
        <w:rPr>
          <w:b/>
          <w:sz w:val="20"/>
        </w:rPr>
        <w:t>Research Context:</w:t>
      </w:r>
    </w:p>
    <w:p>
      <w:pPr>
        <w:spacing w:before="0" w:after="0" w:line="276" w:lineRule="auto"/>
        <w:ind w:left="283"/>
      </w:pPr>
      <w:r>
        <w:rPr>
          <w:sz w:val="20"/>
        </w:rPr>
        <w:t xml:space="preserve">• </w:t>
      </w:r>
      <w:r>
        <w:rPr>
          <w:b/>
          <w:sz w:val="20"/>
        </w:rPr>
        <w:t>89%</w:t>
      </w:r>
      <w:r>
        <w:rPr>
          <w:sz w:val="20"/>
        </w:rPr>
        <w:t xml:space="preserve"> of white-collar workers complete projects in global virtual teams (CultureWizard, 2018)</w:t>
      </w:r>
    </w:p>
    <w:p>
      <w:pPr>
        <w:spacing w:before="0" w:after="0" w:line="276" w:lineRule="auto"/>
        <w:ind w:left="283"/>
      </w:pPr>
      <w:r>
        <w:rPr>
          <w:sz w:val="20"/>
        </w:rPr>
        <w:t xml:space="preserve">• </w:t>
      </w:r>
      <w:r>
        <w:rPr>
          <w:sz w:val="20"/>
        </w:rPr>
        <w:t>Research base: 5,728 individuals in 804 consulting teams across 90 countries</w:t>
      </w:r>
    </w:p>
    <w:p>
      <w:pPr>
        <w:spacing w:before="0" w:after="0" w:line="276" w:lineRule="auto"/>
        <w:ind w:left="283"/>
      </w:pPr>
      <w:r>
        <w:rPr>
          <w:sz w:val="20"/>
        </w:rPr>
        <w:t xml:space="preserve">• </w:t>
      </w:r>
      <w:r>
        <w:rPr>
          <w:sz w:val="20"/>
        </w:rPr>
        <w:t>Consulting project quality as outcome measure (externally rated)</w:t>
      </w:r>
    </w:p>
    <w:p>
      <w:pPr>
        <w:spacing w:before="0" w:after="120"/>
      </w:pPr>
      <w:r>
        <w:rPr>
          <w:b/>
          <w:sz w:val="20"/>
        </w:rPr>
        <w:t>Key Quotes/Stats:</w:t>
      </w:r>
    </w:p>
    <w:p>
      <w:pPr>
        <w:spacing w:before="0" w:after="0" w:line="276" w:lineRule="auto"/>
        <w:ind w:left="283"/>
      </w:pPr>
      <w:r>
        <w:rPr>
          <w:sz w:val="20"/>
        </w:rPr>
        <w:t xml:space="preserve">• </w:t>
      </w:r>
      <w:r>
        <w:rPr>
          <w:sz w:val="20"/>
        </w:rPr>
        <w:t>"89% of white-collar workers 'at least occasionally' complete projects in global virtual teams"</w:t>
      </w:r>
    </w:p>
    <w:p>
      <w:pPr>
        <w:spacing w:before="0" w:after="0" w:line="276" w:lineRule="auto"/>
        <w:ind w:left="283"/>
      </w:pPr>
      <w:r>
        <w:rPr>
          <w:sz w:val="20"/>
        </w:rPr>
        <w:t xml:space="preserve">• </w:t>
      </w:r>
      <w:r>
        <w:rPr>
          <w:sz w:val="20"/>
        </w:rPr>
        <w:t>"95% of GVT research over 24 years focused on adverse effects of diversity"</w:t>
      </w:r>
    </w:p>
    <w:p>
      <w:pPr>
        <w:spacing w:before="0" w:after="0" w:line="276" w:lineRule="auto"/>
        <w:ind w:left="283"/>
      </w:pPr>
      <w:r>
        <w:rPr>
          <w:sz w:val="20"/>
        </w:rPr>
        <w:t xml:space="preserve">• </w:t>
      </w:r>
      <w:r>
        <w:rPr>
          <w:sz w:val="20"/>
        </w:rPr>
        <w:t>"Teams with higher contextual diversity produced higher-quality consulting reports"</w:t>
      </w:r>
    </w:p>
    <w:p>
      <w:pPr>
        <w:spacing w:before="0" w:after="0" w:line="276" w:lineRule="auto"/>
        <w:ind w:left="283"/>
      </w:pPr>
      <w:r>
        <w:rPr>
          <w:sz w:val="20"/>
        </w:rPr>
        <w:t xml:space="preserve">• </w:t>
      </w:r>
      <w:r>
        <w:rPr>
          <w:sz w:val="20"/>
        </w:rPr>
        <w:t>Gender egalitarianism and low power distance = most important cultural factors</w:t>
      </w:r>
    </w:p>
    <w:p>
      <w:pPr>
        <w:pStyle w:val="Heading2"/>
        <w:keepNext/>
        <w:spacing w:before="240" w:after="120"/>
      </w:pPr>
      <w:r>
        <w:rPr>
          <w:sz w:val="20"/>
        </w:rPr>
        <w:t>Coverage Validation</w:t>
      </w:r>
    </w:p>
    <w:p>
      <w:pPr>
        <w:spacing w:before="0" w:after="120"/>
      </w:pPr>
      <w:r>
        <w:rPr>
          <w:sz w:val="20"/>
        </w:rPr>
        <w:t xml:space="preserve">✓ </w:t>
      </w:r>
      <w:r>
        <w:rPr>
          <w:b/>
          <w:sz w:val="20"/>
        </w:rPr>
        <w:t>Cultural dimensions in communication:</w:t>
      </w:r>
      <w:r>
        <w:rPr>
          <w:sz w:val="20"/>
        </w:rPr>
        <w:t xml:space="preserve"> Articles 1 (Hofstede), 3 (Meyer), 4 (Taras et al.)</w:t>
      </w:r>
    </w:p>
    <w:p>
      <w:pPr>
        <w:spacing w:before="0" w:after="120"/>
      </w:pPr>
      <w:r>
        <w:rPr>
          <w:sz w:val="20"/>
        </w:rPr>
        <w:t xml:space="preserve">✓ </w:t>
      </w:r>
      <w:r>
        <w:rPr>
          <w:b/>
          <w:sz w:val="20"/>
        </w:rPr>
        <w:t>Virtual team communication:</w:t>
      </w:r>
      <w:r>
        <w:rPr>
          <w:sz w:val="20"/>
        </w:rPr>
        <w:t xml:space="preserve"> Articles 2 (Edmondson - applicable), 4 (Taras et al. - primary)</w:t>
      </w:r>
    </w:p>
    <w:p>
      <w:pPr>
        <w:spacing w:before="0" w:after="120"/>
      </w:pPr>
      <w:r>
        <w:rPr>
          <w:sz w:val="20"/>
        </w:rPr>
        <w:t xml:space="preserve">✓ </w:t>
      </w:r>
      <w:r>
        <w:rPr>
          <w:b/>
          <w:sz w:val="20"/>
        </w:rPr>
        <w:t>Collaborative presentations:</w:t>
      </w:r>
      <w:r>
        <w:rPr>
          <w:sz w:val="20"/>
        </w:rPr>
        <w:t xml:space="preserve"> Articles 1 (style implications), 3 (post-presentation feedback)</w:t>
      </w:r>
    </w:p>
    <w:p>
      <w:pPr>
        <w:spacing w:before="0" w:after="120"/>
      </w:pPr>
      <w:r>
        <w:rPr>
          <w:sz w:val="20"/>
        </w:rPr>
        <w:t xml:space="preserve">✓ </w:t>
      </w:r>
      <w:r>
        <w:rPr>
          <w:b/>
          <w:sz w:val="20"/>
        </w:rPr>
        <w:t>Feedback culture:</w:t>
      </w:r>
      <w:r>
        <w:rPr>
          <w:sz w:val="20"/>
        </w:rPr>
        <w:t xml:space="preserve"> Articles 2 (Edmondson), 3 (Meyer - primary)</w:t>
      </w:r>
    </w:p>
    <w:p>
      <w:pPr>
        <w:spacing w:before="0" w:after="120"/>
      </w:pPr>
      <w:r>
        <w:rPr>
          <w:sz w:val="20"/>
        </w:rPr>
        <w:t xml:space="preserve">✓ </w:t>
      </w:r>
      <w:r>
        <w:rPr>
          <w:b/>
          <w:sz w:val="20"/>
        </w:rPr>
        <w:t>2 seminal + 2 recent balance achieved</w:t>
      </w:r>
    </w:p>
    <w:p>
      <w:pPr>
        <w:spacing w:before="0" w:after="0" w:line="276" w:lineRule="auto"/>
        <w:ind w:left="283"/>
      </w:pPr>
      <w:r>
        <w:rPr>
          <w:sz w:val="20"/>
        </w:rPr>
        <w:t xml:space="preserve">• </w:t>
      </w:r>
      <w:r>
        <w:rPr>
          <w:sz w:val="20"/>
        </w:rPr>
        <w:t>Seminal: Hofstede (2001) - 33,000+ citations; Edmondson (1999) - 92,000+ citations</w:t>
      </w:r>
    </w:p>
    <w:p>
      <w:pPr>
        <w:spacing w:before="0" w:after="0" w:line="276" w:lineRule="auto"/>
        <w:ind w:left="283"/>
      </w:pPr>
      <w:r>
        <w:rPr>
          <w:sz w:val="20"/>
        </w:rPr>
        <w:t xml:space="preserve">• </w:t>
      </w:r>
      <w:r>
        <w:rPr>
          <w:sz w:val="20"/>
        </w:rPr>
        <w:t>Recent: Meyer (2023) - HBR; Taras et al. (2021) - HBR</w:t>
      </w:r>
    </w:p>
    <w:p>
      <w:pPr>
        <w:spacing w:before="0" w:after="120"/>
      </w:pPr>
      <w:r>
        <w:rPr>
          <w:b/>
          <w:sz w:val="20"/>
        </w:rPr>
        <w:t>Set Complete:</w:t>
      </w:r>
      <w:r>
        <w:rPr>
          <w:sz w:val="20"/>
        </w:rPr>
        <w:t xml:space="preserve"> YES</w:t>
      </w:r>
    </w:p>
    <w:p>
      <w:pPr>
        <w:pStyle w:val="Heading2"/>
        <w:keepNext/>
        <w:spacing w:before="240" w:after="120"/>
      </w:pPr>
      <w:r>
        <w:rPr>
          <w:sz w:val="20"/>
        </w:rPr>
        <w:t>Supplementary Frameworks for Teaching</w:t>
      </w:r>
    </w:p>
    <w:p>
      <w:pPr>
        <w:pStyle w:val="Heading3"/>
        <w:keepNext/>
        <w:spacing w:before="240" w:after="120"/>
      </w:pPr>
      <w:r>
        <w:rPr>
          <w:sz w:val="20"/>
        </w:rPr>
        <w:t>Erin Meyer's Culture Map: 8 Behavioral Scales</w:t>
      </w:r>
    </w:p>
    <w:p>
      <w:pPr>
        <w:spacing w:before="0" w:after="0" w:line="276" w:lineRule="auto"/>
        <w:ind w:left="283"/>
      </w:pPr>
      <w:r>
        <w:rPr>
          <w:sz w:val="20"/>
        </w:rPr>
        <w:t xml:space="preserve">1. </w:t>
      </w:r>
      <w:r>
        <w:rPr>
          <w:b/>
          <w:sz w:val="20"/>
        </w:rPr>
        <w:t>Communicating</w:t>
      </w:r>
      <w:r>
        <w:rPr>
          <w:sz w:val="20"/>
        </w:rPr>
        <w:t xml:space="preserve"> (Low-context → High-context): US → Germany → UK → France → Brazil → China → Japan</w:t>
      </w:r>
    </w:p>
    <w:p>
      <w:pPr>
        <w:spacing w:before="0" w:after="0" w:line="276" w:lineRule="auto"/>
        <w:ind w:left="283"/>
      </w:pPr>
      <w:r>
        <w:rPr>
          <w:sz w:val="20"/>
        </w:rPr>
        <w:t xml:space="preserve">2. </w:t>
      </w:r>
      <w:r>
        <w:rPr>
          <w:b/>
          <w:sz w:val="20"/>
        </w:rPr>
        <w:t>Evaluating</w:t>
      </w:r>
      <w:r>
        <w:rPr>
          <w:sz w:val="20"/>
        </w:rPr>
        <w:t xml:space="preserve"> (Direct → Indirect negative feedback): Netherlands/Germany most direct; Japan most indirect</w:t>
      </w:r>
    </w:p>
    <w:p>
      <w:pPr>
        <w:spacing w:before="0" w:after="0" w:line="276" w:lineRule="auto"/>
        <w:ind w:left="283"/>
      </w:pPr>
      <w:r>
        <w:rPr>
          <w:sz w:val="20"/>
        </w:rPr>
        <w:t xml:space="preserve">3. </w:t>
      </w:r>
      <w:r>
        <w:rPr>
          <w:b/>
          <w:sz w:val="20"/>
        </w:rPr>
        <w:t>Persuading</w:t>
      </w:r>
      <w:r>
        <w:rPr>
          <w:sz w:val="20"/>
        </w:rPr>
        <w:t xml:space="preserve"> (Principles-first → Applications-first): France theory-first; US recommendations-first</w:t>
      </w:r>
    </w:p>
    <w:p>
      <w:pPr>
        <w:spacing w:before="0" w:after="0" w:line="276" w:lineRule="auto"/>
        <w:ind w:left="283"/>
      </w:pPr>
      <w:r>
        <w:rPr>
          <w:sz w:val="20"/>
        </w:rPr>
        <w:t xml:space="preserve">4. </w:t>
      </w:r>
      <w:r>
        <w:rPr>
          <w:b/>
          <w:sz w:val="20"/>
        </w:rPr>
        <w:t>Leading</w:t>
      </w:r>
      <w:r>
        <w:rPr>
          <w:sz w:val="20"/>
        </w:rPr>
        <w:t xml:space="preserve"> (Egalitarian → Hierarchical): Denmark most egalitarian; Japan most hierarchical</w:t>
      </w:r>
    </w:p>
    <w:p>
      <w:pPr>
        <w:spacing w:before="0" w:after="0" w:line="276" w:lineRule="auto"/>
        <w:ind w:left="283"/>
      </w:pPr>
      <w:r>
        <w:rPr>
          <w:sz w:val="20"/>
        </w:rPr>
        <w:t xml:space="preserve">5. </w:t>
      </w:r>
      <w:r>
        <w:rPr>
          <w:b/>
          <w:sz w:val="20"/>
        </w:rPr>
        <w:t>Deciding</w:t>
      </w:r>
      <w:r>
        <w:rPr>
          <w:sz w:val="20"/>
        </w:rPr>
        <w:t xml:space="preserve"> (Consensual → Top-down): Japan consensual but hierarchical; US egalitarian but top-down</w:t>
      </w:r>
    </w:p>
    <w:p>
      <w:pPr>
        <w:spacing w:before="0" w:after="0" w:line="276" w:lineRule="auto"/>
        <w:ind w:left="283"/>
      </w:pPr>
      <w:r>
        <w:rPr>
          <w:sz w:val="20"/>
        </w:rPr>
        <w:t xml:space="preserve">6. </w:t>
      </w:r>
      <w:r>
        <w:rPr>
          <w:b/>
          <w:sz w:val="20"/>
        </w:rPr>
        <w:t>Trusting</w:t>
      </w:r>
      <w:r>
        <w:rPr>
          <w:sz w:val="20"/>
        </w:rPr>
        <w:t xml:space="preserve"> (Task-based → Relationship-based): US task-based; China relationship-based</w:t>
      </w:r>
    </w:p>
    <w:p>
      <w:pPr>
        <w:spacing w:before="0" w:after="0" w:line="276" w:lineRule="auto"/>
        <w:ind w:left="283"/>
      </w:pPr>
      <w:r>
        <w:rPr>
          <w:sz w:val="20"/>
        </w:rPr>
        <w:t xml:space="preserve">7. </w:t>
      </w:r>
      <w:r>
        <w:rPr>
          <w:b/>
          <w:sz w:val="20"/>
        </w:rPr>
        <w:t>Disagreeing</w:t>
      </w:r>
      <w:r>
        <w:rPr>
          <w:sz w:val="20"/>
        </w:rPr>
        <w:t xml:space="preserve"> (Confrontational → Avoids confrontation): France/Israel confrontational; Japan avoids</w:t>
      </w:r>
    </w:p>
    <w:p>
      <w:pPr>
        <w:spacing w:before="0" w:after="0" w:line="276" w:lineRule="auto"/>
        <w:ind w:left="283"/>
      </w:pPr>
      <w:r>
        <w:rPr>
          <w:sz w:val="20"/>
        </w:rPr>
        <w:t xml:space="preserve">8. </w:t>
      </w:r>
      <w:r>
        <w:rPr>
          <w:b/>
          <w:sz w:val="20"/>
        </w:rPr>
        <w:t>Scheduling</w:t>
      </w:r>
      <w:r>
        <w:rPr>
          <w:sz w:val="20"/>
        </w:rPr>
        <w:t xml:space="preserve"> (Linear-time → Flexible-time): Germany/Switzerland linear; Saudi Arabia flexible</w:t>
      </w:r>
    </w:p>
    <w:p>
      <w:pPr>
        <w:spacing w:before="0" w:after="120"/>
      </w:pPr>
      <w:r>
        <w:rPr>
          <w:b/>
          <w:sz w:val="20"/>
        </w:rPr>
        <w:t>Key insight:</w:t>
      </w:r>
      <w:r>
        <w:rPr>
          <w:sz w:val="20"/>
        </w:rPr>
        <w:t xml:space="preserve"> Culture is relative—what matters is positioning between cultures, not absolute scores.</w:t>
      </w:r>
    </w:p>
    <w:p>
      <w:pPr>
        <w:pStyle w:val="Heading3"/>
        <w:keepNext/>
        <w:spacing w:before="240" w:after="120"/>
      </w:pPr>
      <w:r>
        <w:rPr>
          <w:sz w:val="20"/>
        </w:rPr>
        <w:t>Cultural Intelligence (CQ) Framework</w:t>
      </w:r>
    </w:p>
    <w:p>
      <w:pPr>
        <w:spacing w:before="0" w:after="120"/>
      </w:pPr>
      <w:r>
        <w:rPr>
          <w:sz w:val="20"/>
        </w:rPr>
        <w:t>Developed by Earley (London Business School) and Ang (Nanyang Business School):</w:t>
      </w:r>
    </w:p>
    <w:p>
      <w:pPr>
        <w:spacing w:before="0" w:after="0" w:line="276" w:lineRule="auto"/>
        <w:ind w:left="283"/>
      </w:pPr>
      <w:r>
        <w:rPr>
          <w:sz w:val="20"/>
        </w:rPr>
        <w:t xml:space="preserve">1. </w:t>
      </w:r>
      <w:r>
        <w:rPr>
          <w:b/>
          <w:sz w:val="20"/>
        </w:rPr>
        <w:t>CQ Drive (Motivational):</w:t>
      </w:r>
      <w:r>
        <w:rPr>
          <w:sz w:val="20"/>
        </w:rPr>
        <w:t xml:space="preserve"> Interest in cultural experiences, recognition of benefits, self-efficacy</w:t>
      </w:r>
    </w:p>
    <w:p>
      <w:pPr>
        <w:spacing w:before="0" w:after="0" w:line="276" w:lineRule="auto"/>
        <w:ind w:left="283"/>
      </w:pPr>
      <w:r>
        <w:rPr>
          <w:sz w:val="20"/>
        </w:rPr>
        <w:t xml:space="preserve">2. </w:t>
      </w:r>
      <w:r>
        <w:rPr>
          <w:b/>
          <w:sz w:val="20"/>
        </w:rPr>
        <w:t>CQ Knowledge (Cognitive):</w:t>
      </w:r>
      <w:r>
        <w:rPr>
          <w:sz w:val="20"/>
        </w:rPr>
        <w:t xml:space="preserve"> Understanding of cultural systems, values, sociolinguistics</w:t>
      </w:r>
    </w:p>
    <w:p>
      <w:pPr>
        <w:spacing w:before="0" w:after="0" w:line="276" w:lineRule="auto"/>
        <w:ind w:left="283"/>
      </w:pPr>
      <w:r>
        <w:rPr>
          <w:sz w:val="20"/>
        </w:rPr>
        <w:t xml:space="preserve">3. </w:t>
      </w:r>
      <w:r>
        <w:rPr>
          <w:b/>
          <w:sz w:val="20"/>
        </w:rPr>
        <w:t>CQ Strategy (Metacognitive):</w:t>
      </w:r>
      <w:r>
        <w:rPr>
          <w:sz w:val="20"/>
        </w:rPr>
        <w:t xml:space="preserve"> Planning for cross-cultural encounters, checking assumptions</w:t>
      </w:r>
    </w:p>
    <w:p>
      <w:pPr>
        <w:spacing w:before="0" w:after="0" w:line="276" w:lineRule="auto"/>
        <w:ind w:left="283"/>
      </w:pPr>
      <w:r>
        <w:rPr>
          <w:sz w:val="20"/>
        </w:rPr>
        <w:t xml:space="preserve">4. </w:t>
      </w:r>
      <w:r>
        <w:rPr>
          <w:b/>
          <w:sz w:val="20"/>
        </w:rPr>
        <w:t>CQ Action (Behavioral):</w:t>
      </w:r>
      <w:r>
        <w:rPr>
          <w:sz w:val="20"/>
        </w:rPr>
        <w:t xml:space="preserve"> Flexibility in verbal and nonverbal behavior</w:t>
      </w:r>
    </w:p>
    <w:p>
      <w:pPr>
        <w:spacing w:before="0" w:after="120"/>
      </w:pPr>
      <w:r>
        <w:rPr>
          <w:b/>
          <w:sz w:val="20"/>
        </w:rPr>
        <w:t>Research validation:</w:t>
      </w:r>
      <w:r>
        <w:rPr>
          <w:sz w:val="20"/>
        </w:rPr>
        <w:t xml:space="preserve"> 1,000+ peer-reviewed papers, 150+ countries, 44,155-participant meta-analysis</w:t>
      </w:r>
    </w:p>
    <w:p>
      <w:pPr>
        <w:pStyle w:val="Heading3"/>
        <w:keepNext/>
        <w:spacing w:before="240" w:after="120"/>
      </w:pPr>
      <w:r>
        <w:rPr>
          <w:sz w:val="20"/>
        </w:rPr>
        <w:t>Timothy Clark's Four Stages of Psychological Safety</w:t>
      </w:r>
    </w:p>
    <w:p>
      <w:pPr>
        <w:spacing w:before="0" w:after="0" w:line="276" w:lineRule="auto"/>
        <w:ind w:left="283"/>
      </w:pPr>
      <w:r>
        <w:rPr>
          <w:sz w:val="20"/>
        </w:rPr>
        <w:t xml:space="preserve">1. </w:t>
      </w:r>
      <w:r>
        <w:rPr>
          <w:b/>
          <w:sz w:val="20"/>
        </w:rPr>
        <w:t>Inclusion Safety:</w:t>
      </w:r>
      <w:r>
        <w:rPr>
          <w:sz w:val="20"/>
        </w:rPr>
        <w:t xml:space="preserve"> Feeling accepted as team member (need to belong)</w:t>
      </w:r>
    </w:p>
    <w:p>
      <w:pPr>
        <w:spacing w:before="0" w:after="0" w:line="276" w:lineRule="auto"/>
        <w:ind w:left="283"/>
      </w:pPr>
      <w:r>
        <w:rPr>
          <w:sz w:val="20"/>
        </w:rPr>
        <w:t xml:space="preserve">2. </w:t>
      </w:r>
      <w:r>
        <w:rPr>
          <w:b/>
          <w:sz w:val="20"/>
        </w:rPr>
        <w:t>Learner Safety:</w:t>
      </w:r>
      <w:r>
        <w:rPr>
          <w:sz w:val="20"/>
        </w:rPr>
        <w:t xml:space="preserve"> Feeling safe to ask questions and make mistakes (need to learn)</w:t>
      </w:r>
    </w:p>
    <w:p>
      <w:pPr>
        <w:spacing w:before="0" w:after="0" w:line="276" w:lineRule="auto"/>
        <w:ind w:left="283"/>
      </w:pPr>
      <w:r>
        <w:rPr>
          <w:sz w:val="20"/>
        </w:rPr>
        <w:t xml:space="preserve">3. </w:t>
      </w:r>
      <w:r>
        <w:rPr>
          <w:b/>
          <w:sz w:val="20"/>
        </w:rPr>
        <w:t>Contributor Safety:</w:t>
      </w:r>
      <w:r>
        <w:rPr>
          <w:sz w:val="20"/>
        </w:rPr>
        <w:t xml:space="preserve"> Feeling safe to contribute ideas (need to make a difference)</w:t>
      </w:r>
    </w:p>
    <w:p>
      <w:pPr>
        <w:spacing w:before="0" w:after="0" w:line="276" w:lineRule="auto"/>
        <w:ind w:left="283"/>
      </w:pPr>
      <w:r>
        <w:rPr>
          <w:sz w:val="20"/>
        </w:rPr>
        <w:t xml:space="preserve">4. </w:t>
      </w:r>
      <w:r>
        <w:rPr>
          <w:b/>
          <w:sz w:val="20"/>
        </w:rPr>
        <w:t>Challenger Safety:</w:t>
      </w:r>
      <w:r>
        <w:rPr>
          <w:sz w:val="20"/>
        </w:rPr>
        <w:t xml:space="preserve"> Feeling safe to challenge status quo (requires demonstrated value)</w:t>
      </w:r>
    </w:p>
    <w:p>
      <w:pPr>
        <w:pStyle w:val="Heading2"/>
        <w:keepNext/>
        <w:spacing w:before="240" w:after="120"/>
      </w:pPr>
      <w:r>
        <w:rPr>
          <w:sz w:val="20"/>
        </w:rPr>
        <w:t>Teaching Integration Notes</w:t>
      </w:r>
    </w:p>
    <w:p>
      <w:pPr>
        <w:pStyle w:val="Heading3"/>
        <w:keepNext/>
        <w:spacing w:before="240" w:after="120"/>
      </w:pPr>
      <w:r>
        <w:rPr>
          <w:sz w:val="20"/>
        </w:rPr>
        <w:t>Recommended Session Sequence</w:t>
      </w:r>
    </w:p>
    <w:p>
      <w:pPr>
        <w:spacing w:before="0" w:after="0" w:line="276" w:lineRule="auto"/>
        <w:ind w:left="283"/>
      </w:pPr>
      <w:r>
        <w:rPr>
          <w:sz w:val="20"/>
        </w:rPr>
        <w:t xml:space="preserve">1. </w:t>
      </w:r>
      <w:r>
        <w:rPr>
          <w:sz w:val="20"/>
        </w:rPr>
        <w:t>Open with cultural self-assessment (Culture Map tools at erinmeyer.com)</w:t>
      </w:r>
    </w:p>
    <w:p>
      <w:pPr>
        <w:spacing w:before="0" w:after="0" w:line="276" w:lineRule="auto"/>
        <w:ind w:left="283"/>
      </w:pPr>
      <w:r>
        <w:rPr>
          <w:sz w:val="20"/>
        </w:rPr>
        <w:t xml:space="preserve">2. </w:t>
      </w:r>
      <w:r>
        <w:rPr>
          <w:sz w:val="20"/>
        </w:rPr>
        <w:t>Introduce Hofstede dimensions with country comparison exercises</w:t>
      </w:r>
    </w:p>
    <w:p>
      <w:pPr>
        <w:spacing w:before="0" w:after="0" w:line="276" w:lineRule="auto"/>
        <w:ind w:left="283"/>
      </w:pPr>
      <w:r>
        <w:rPr>
          <w:sz w:val="20"/>
        </w:rPr>
        <w:t xml:space="preserve">3. </w:t>
      </w:r>
      <w:r>
        <w:rPr>
          <w:sz w:val="20"/>
        </w:rPr>
        <w:t>Apply psychological safety framework to diverse team contexts</w:t>
      </w:r>
    </w:p>
    <w:p>
      <w:pPr>
        <w:spacing w:before="0" w:after="0" w:line="276" w:lineRule="auto"/>
        <w:ind w:left="283"/>
      </w:pPr>
      <w:r>
        <w:rPr>
          <w:sz w:val="20"/>
        </w:rPr>
        <w:t xml:space="preserve">4. </w:t>
      </w:r>
      <w:r>
        <w:rPr>
          <w:sz w:val="20"/>
        </w:rPr>
        <w:t>Practice cross-cultural feedback using Three A's framework</w:t>
      </w:r>
    </w:p>
    <w:p>
      <w:pPr>
        <w:spacing w:before="0" w:after="0" w:line="276" w:lineRule="auto"/>
        <w:ind w:left="283"/>
      </w:pPr>
      <w:r>
        <w:rPr>
          <w:sz w:val="20"/>
        </w:rPr>
        <w:t xml:space="preserve">5. </w:t>
      </w:r>
      <w:r>
        <w:rPr>
          <w:sz w:val="20"/>
        </w:rPr>
        <w:t>Simulate virtual team meeting with time zone and cultural considerations</w:t>
      </w:r>
    </w:p>
    <w:p>
      <w:pPr>
        <w:pStyle w:val="Heading3"/>
        <w:keepNext/>
        <w:spacing w:before="240" w:after="120"/>
      </w:pPr>
      <w:r>
        <w:rPr>
          <w:sz w:val="20"/>
        </w:rPr>
        <w:t>Online Tools for Student Use</w:t>
      </w:r>
    </w:p>
    <w:p>
      <w:pPr>
        <w:spacing w:before="0" w:after="0" w:line="276" w:lineRule="auto"/>
        <w:ind w:left="283"/>
      </w:pPr>
      <w:r>
        <w:rPr>
          <w:sz w:val="20"/>
        </w:rPr>
        <w:t xml:space="preserve">• </w:t>
      </w:r>
      <w:r>
        <w:rPr>
          <w:sz w:val="20"/>
        </w:rPr>
        <w:t>Culture Map country comparison: erinmeyer.com</w:t>
      </w:r>
    </w:p>
    <w:p>
      <w:pPr>
        <w:spacing w:before="0" w:after="0" w:line="276" w:lineRule="auto"/>
        <w:ind w:left="283"/>
      </w:pPr>
      <w:r>
        <w:rPr>
          <w:sz w:val="20"/>
        </w:rPr>
        <w:t xml:space="preserve">• </w:t>
      </w:r>
      <w:r>
        <w:rPr>
          <w:sz w:val="20"/>
        </w:rPr>
        <w:t>Hofstede country comparison: hofstede-insights.com</w:t>
      </w:r>
    </w:p>
    <w:p>
      <w:pPr>
        <w:spacing w:before="0" w:after="0" w:line="276" w:lineRule="auto"/>
        <w:ind w:left="283"/>
      </w:pPr>
      <w:r>
        <w:rPr>
          <w:sz w:val="20"/>
        </w:rPr>
        <w:t xml:space="preserve">• </w:t>
      </w:r>
      <w:r>
        <w:rPr>
          <w:sz w:val="20"/>
        </w:rPr>
        <w:t>CQ assessments: Cultural Intelligence Center</w:t>
      </w:r>
    </w:p>
    <w:p>
      <w:pPr>
        <w:spacing w:before="0" w:after="0" w:line="276" w:lineRule="auto"/>
        <w:ind w:left="283"/>
      </w:pPr>
      <w:r>
        <w:rPr>
          <w:sz w:val="20"/>
        </w:rPr>
        <w:t xml:space="preserve">• </w:t>
      </w:r>
      <w:r>
        <w:rPr>
          <w:sz w:val="20"/>
        </w:rPr>
        <w:t>GLOBE research data: globeproject.com</w:t>
      </w:r>
    </w:p>
    <w:p>
      <w:pPr>
        <w:pStyle w:val="Heading3"/>
        <w:keepNext/>
        <w:spacing w:before="240" w:after="120"/>
      </w:pPr>
      <w:r>
        <w:rPr>
          <w:sz w:val="20"/>
        </w:rPr>
        <w:t>Assessment Ideas</w:t>
      </w:r>
    </w:p>
    <w:p>
      <w:pPr>
        <w:spacing w:before="0" w:after="0" w:line="276" w:lineRule="auto"/>
        <w:ind w:left="283"/>
      </w:pPr>
      <w:r>
        <w:rPr>
          <w:sz w:val="20"/>
        </w:rPr>
        <w:t xml:space="preserve">• </w:t>
      </w:r>
      <w:r>
        <w:rPr>
          <w:sz w:val="20"/>
        </w:rPr>
        <w:t>Cultural profile self-assessment with reflection (individual)</w:t>
      </w:r>
    </w:p>
    <w:p>
      <w:pPr>
        <w:spacing w:before="0" w:after="0" w:line="276" w:lineRule="auto"/>
        <w:ind w:left="283"/>
      </w:pPr>
      <w:r>
        <w:rPr>
          <w:sz w:val="20"/>
        </w:rPr>
        <w:t xml:space="preserve">• </w:t>
      </w:r>
      <w:r>
        <w:rPr>
          <w:sz w:val="20"/>
        </w:rPr>
        <w:t>Cross-cultural feedback role play with debrief (pairs)</w:t>
      </w:r>
    </w:p>
    <w:p>
      <w:pPr>
        <w:spacing w:before="0" w:after="0" w:line="276" w:lineRule="auto"/>
        <w:ind w:left="283"/>
      </w:pPr>
      <w:r>
        <w:rPr>
          <w:sz w:val="20"/>
        </w:rPr>
        <w:t xml:space="preserve">• </w:t>
      </w:r>
      <w:r>
        <w:rPr>
          <w:sz w:val="20"/>
        </w:rPr>
        <w:t>Virtual team project with process reflection (groups)</w:t>
      </w:r>
    </w:p>
    <w:p>
      <w:pPr>
        <w:spacing w:before="0" w:after="0" w:line="276" w:lineRule="auto"/>
        <w:ind w:left="283"/>
      </w:pPr>
      <w:r>
        <w:rPr>
          <w:sz w:val="20"/>
        </w:rPr>
        <w:t xml:space="preserve">• </w:t>
      </w:r>
      <w:r>
        <w:rPr>
          <w:sz w:val="20"/>
        </w:rPr>
        <w:t>Case analysis of psychological safety failure in diverse team (individual)</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