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keepNext/>
        <w:spacing w:before="240" w:after="120"/>
      </w:pPr>
      <w:r>
        <w:rPr>
          <w:sz w:val="20"/>
        </w:rPr>
        <w:t>Week 10: Integration &amp; Capstone</w:t>
      </w:r>
    </w:p>
    <w:p>
      <w:pPr>
        <w:pStyle w:val="Heading2"/>
        <w:keepNext/>
        <w:spacing w:before="240" w:after="120"/>
      </w:pPr>
      <w:r>
        <w:rPr>
          <w:sz w:val="20"/>
        </w:rPr>
        <w:t>Key Concepts Required</w:t>
      </w:r>
    </w:p>
    <w:p>
      <w:pPr>
        <w:spacing w:before="0" w:after="0" w:line="276" w:lineRule="auto"/>
        <w:ind w:left="283"/>
      </w:pPr>
      <w:r>
        <w:rPr>
          <w:sz w:val="20"/>
        </w:rPr>
        <w:t xml:space="preserve">1. </w:t>
      </w:r>
      <w:r>
        <w:rPr>
          <w:sz w:val="20"/>
        </w:rPr>
        <w:t>Capstone presentation (comprehensive final presentation demonstrating mastery)</w:t>
      </w:r>
    </w:p>
    <w:p>
      <w:pPr>
        <w:spacing w:before="0" w:after="0" w:line="276" w:lineRule="auto"/>
        <w:ind w:left="283"/>
      </w:pPr>
      <w:r>
        <w:rPr>
          <w:sz w:val="20"/>
        </w:rPr>
        <w:t xml:space="preserve">2. </w:t>
      </w:r>
      <w:r>
        <w:rPr>
          <w:sz w:val="20"/>
        </w:rPr>
        <w:t>Self-assessment (personal communication effectiveness evaluation)</w:t>
      </w:r>
    </w:p>
    <w:p>
      <w:pPr>
        <w:spacing w:before="0" w:after="0" w:line="276" w:lineRule="auto"/>
        <w:ind w:left="283"/>
      </w:pPr>
      <w:r>
        <w:rPr>
          <w:sz w:val="20"/>
        </w:rPr>
        <w:t xml:space="preserve">3. </w:t>
      </w:r>
      <w:r>
        <w:rPr>
          <w:sz w:val="20"/>
        </w:rPr>
        <w:t>Development planning (continuous improvement strategies for communication skills)</w:t>
      </w:r>
    </w:p>
    <w:p>
      <w:pPr>
        <w:spacing w:before="0" w:after="0" w:line="276" w:lineRule="auto"/>
        <w:ind w:left="283"/>
      </w:pPr>
      <w:r>
        <w:rPr>
          <w:sz w:val="20"/>
        </w:rPr>
        <w:t xml:space="preserve">4. </w:t>
      </w:r>
      <w:r>
        <w:rPr>
          <w:sz w:val="20"/>
        </w:rPr>
        <w:t>Course synthesis (integration of all communication competencies)</w:t>
      </w:r>
    </w:p>
    <w:p>
      <w:pPr>
        <w:pStyle w:val="Heading2"/>
        <w:keepNext/>
        <w:spacing w:before="240" w:after="120"/>
      </w:pPr>
      <w:r>
        <w:rPr>
          <w:sz w:val="20"/>
        </w:rPr>
        <w:t>Foundational Frameworks (from school research)</w:t>
      </w:r>
    </w:p>
    <w:p>
      <w:pPr>
        <w:spacing w:before="0" w:after="0" w:line="276" w:lineRule="auto"/>
        <w:ind w:left="283"/>
      </w:pPr>
      <w:r>
        <w:rPr>
          <w:sz w:val="20"/>
        </w:rPr>
        <w:t xml:space="preserve">• </w:t>
      </w:r>
      <w:r>
        <w:rPr>
          <w:b/>
          <w:sz w:val="20"/>
        </w:rPr>
        <w:t>Reflective Practice (Schön)</w:t>
      </w:r>
      <w:r>
        <w:rPr>
          <w:sz w:val="20"/>
        </w:rPr>
        <w:t xml:space="preserve"> - 8,900+ citations; referenced at Harvard, MIT Sloan, Stanford; foundational for self-assessment and professional development</w:t>
      </w:r>
    </w:p>
    <w:p>
      <w:pPr>
        <w:spacing w:before="0" w:after="0" w:line="276" w:lineRule="auto"/>
        <w:ind w:left="283"/>
      </w:pPr>
      <w:r>
        <w:rPr>
          <w:sz w:val="20"/>
        </w:rPr>
        <w:t xml:space="preserve">• </w:t>
      </w:r>
      <w:r>
        <w:rPr>
          <w:b/>
          <w:sz w:val="20"/>
        </w:rPr>
        <w:t>Experiential Learning Cycle (Kolb)</w:t>
      </w:r>
      <w:r>
        <w:rPr>
          <w:sz w:val="20"/>
        </w:rPr>
        <w:t xml:space="preserve"> - 16,000+ citations; referenced at all M7 schools; core framework for integrating learning experiences</w:t>
      </w:r>
    </w:p>
    <w:p>
      <w:pPr>
        <w:pStyle w:val="Heading2"/>
        <w:keepNext/>
        <w:spacing w:before="240" w:after="120"/>
      </w:pPr>
      <w:r>
        <w:rPr>
          <w:sz w:val="20"/>
        </w:rPr>
        <w:t>Recent Applied References (from school research)</w:t>
      </w:r>
    </w:p>
    <w:p>
      <w:pPr>
        <w:spacing w:before="0" w:after="0" w:line="276" w:lineRule="auto"/>
        <w:ind w:left="283"/>
      </w:pPr>
      <w:r>
        <w:rPr>
          <w:sz w:val="20"/>
        </w:rPr>
        <w:t xml:space="preserve">• </w:t>
      </w:r>
      <w:r>
        <w:rPr>
          <w:sz w:val="20"/>
        </w:rPr>
        <w:t>MIT Sloan Management Review continuous learning research - contemporary framework for professional development planning</w:t>
      </w:r>
    </w:p>
    <w:p>
      <w:pPr>
        <w:spacing w:before="0" w:after="0" w:line="276" w:lineRule="auto"/>
        <w:ind w:left="283"/>
      </w:pPr>
      <w:r>
        <w:rPr>
          <w:sz w:val="20"/>
        </w:rPr>
        <w:t xml:space="preserve">• </w:t>
      </w:r>
      <w:r>
        <w:rPr>
          <w:sz w:val="20"/>
        </w:rPr>
        <w:t>McKinsey leadership versatility framework - practical model for capstone self-assessment and career planning</w:t>
      </w:r>
    </w:p>
    <w:p>
      <w:pPr>
        <w:pStyle w:val="Heading2"/>
        <w:keepNext/>
        <w:spacing w:before="240" w:after="120"/>
      </w:pPr>
      <w:r>
        <w:rPr>
          <w:sz w:val="20"/>
        </w:rPr>
        <w:t>Article 1: The Reflective Practitioner: How Professionals Think in Action (SEMINAL)</w:t>
      </w:r>
    </w:p>
    <w:p>
      <w:pPr>
        <w:spacing w:before="0" w:after="120"/>
      </w:pPr>
      <w:r>
        <w:rPr>
          <w:sz w:val="20"/>
        </w:rPr>
        <w:t xml:space="preserve">Schön, D. A. (1983). </w:t>
      </w:r>
      <w:r>
        <w:rPr>
          <w:i/>
          <w:sz w:val="20"/>
        </w:rPr>
        <w:t>The reflective practitioner: How professionals think in action</w:t>
      </w:r>
      <w:r>
        <w:rPr>
          <w:sz w:val="20"/>
        </w:rPr>
        <w:t>. Basic Books.</w:t>
      </w:r>
    </w:p>
    <w:p>
      <w:pPr>
        <w:spacing w:before="0" w:after="120"/>
      </w:pPr>
      <w:r>
        <w:rPr>
          <w:b/>
          <w:sz w:val="20"/>
        </w:rPr>
        <w:t>URL:</w:t>
      </w:r>
      <w:r>
        <w:rPr>
          <w:sz w:val="20"/>
        </w:rPr>
        <w:t xml:space="preserve"> https://www.amazon.com/Reflective-Practitioner-Professionals-Think-Action/dp/0465068782</w:t>
      </w:r>
    </w:p>
    <w:p>
      <w:pPr>
        <w:spacing w:before="0" w:after="120"/>
      </w:pPr>
      <w:r>
        <w:rPr>
          <w:b/>
          <w:sz w:val="20"/>
        </w:rPr>
        <w:t>Type:</w:t>
      </w:r>
      <w:r>
        <w:rPr>
          <w:sz w:val="20"/>
        </w:rPr>
        <w:t xml:space="preserve"> Seminal classic / Foundational theory</w:t>
      </w:r>
    </w:p>
    <w:p>
      <w:pPr>
        <w:spacing w:before="0" w:after="120"/>
      </w:pPr>
      <w:r>
        <w:rPr>
          <w:b/>
          <w:sz w:val="20"/>
        </w:rPr>
        <w:t>Access:</w:t>
      </w:r>
      <w:r>
        <w:rPr>
          <w:sz w:val="20"/>
        </w:rPr>
        <w:t xml:space="preserve"> Paywalled seminal (available for purchase)</w:t>
      </w:r>
    </w:p>
    <w:p>
      <w:pPr>
        <w:spacing w:before="0" w:after="120"/>
      </w:pPr>
      <w:r>
        <w:rPr>
          <w:b/>
          <w:sz w:val="20"/>
        </w:rPr>
        <w:t>Citations:</w:t>
      </w:r>
      <w:r>
        <w:rPr>
          <w:sz w:val="20"/>
        </w:rPr>
        <w:t xml:space="preserve"> 8,900+ (Semantic Scholar)</w:t>
      </w:r>
    </w:p>
    <w:p>
      <w:pPr>
        <w:spacing w:before="0" w:after="120"/>
      </w:pPr>
      <w:r>
        <w:rPr>
          <w:b/>
          <w:sz w:val="20"/>
        </w:rPr>
        <w:t>Primary Focus:</w:t>
      </w:r>
      <w:r>
        <w:rPr>
          <w:sz w:val="20"/>
        </w:rPr>
        <w:t xml:space="preserve"> Self-assessment, development planning, course synthesis</w:t>
      </w:r>
    </w:p>
    <w:p>
      <w:pPr>
        <w:spacing w:before="0" w:after="120"/>
      </w:pPr>
      <w:r>
        <w:rPr>
          <w:b/>
          <w:sz w:val="20"/>
        </w:rPr>
        <w:t>Content Match:</w:t>
      </w:r>
    </w:p>
    <w:p>
      <w:pPr>
        <w:spacing w:before="0" w:after="120"/>
      </w:pPr>
      <w:r>
        <w:rPr>
          <w:sz w:val="20"/>
        </w:rPr>
        <w:t xml:space="preserve">✓ </w:t>
      </w:r>
      <w:r>
        <w:rPr>
          <w:b/>
          <w:sz w:val="20"/>
        </w:rPr>
        <w:t>Self-assessment:</w:t>
      </w:r>
      <w:r>
        <w:rPr>
          <w:sz w:val="20"/>
        </w:rPr>
        <w:t xml:space="preserve"> Core focus - frameworks for examining tacit professional knowledge</w:t>
      </w:r>
    </w:p>
    <w:p>
      <w:pPr>
        <w:spacing w:before="0" w:after="120"/>
      </w:pPr>
      <w:r>
        <w:rPr>
          <w:sz w:val="20"/>
        </w:rPr>
        <w:t xml:space="preserve">✓ </w:t>
      </w:r>
      <w:r>
        <w:rPr>
          <w:b/>
          <w:sz w:val="20"/>
        </w:rPr>
        <w:t>Development planning:</w:t>
      </w:r>
      <w:r>
        <w:rPr>
          <w:sz w:val="20"/>
        </w:rPr>
        <w:t xml:space="preserve"> Strong coverage - establishes reflective practice as ongoing professional habit</w:t>
      </w:r>
    </w:p>
    <w:p>
      <w:pPr>
        <w:spacing w:before="0" w:after="120"/>
      </w:pPr>
      <w:r>
        <w:rPr>
          <w:sz w:val="20"/>
        </w:rPr>
        <w:t xml:space="preserve">✓ </w:t>
      </w:r>
      <w:r>
        <w:rPr>
          <w:b/>
          <w:sz w:val="20"/>
        </w:rPr>
        <w:t>Course synthesis:</w:t>
      </w:r>
      <w:r>
        <w:rPr>
          <w:sz w:val="20"/>
        </w:rPr>
        <w:t xml:space="preserve"> Addresses how professionals integrate theoretical and practical knowledge</w:t>
      </w:r>
    </w:p>
    <w:p>
      <w:pPr>
        <w:spacing w:before="0" w:after="120"/>
      </w:pPr>
      <w:r>
        <w:rPr>
          <w:sz w:val="20"/>
        </w:rPr>
        <w:t xml:space="preserve">✗ </w:t>
      </w:r>
      <w:r>
        <w:rPr>
          <w:b/>
          <w:sz w:val="20"/>
        </w:rPr>
        <w:t>Capstone presentation:</w:t>
      </w:r>
      <w:r>
        <w:rPr>
          <w:sz w:val="20"/>
        </w:rPr>
        <w:t xml:space="preserve"> Not directly covered</w:t>
      </w:r>
    </w:p>
    <w:p>
      <w:pPr>
        <w:spacing w:before="0" w:after="120"/>
      </w:pPr>
      <w:r>
        <w:rPr>
          <w:b/>
          <w:sz w:val="20"/>
        </w:rPr>
        <w:t>Why Selected:</w:t>
      </w:r>
      <w:r>
        <w:rPr>
          <w:sz w:val="20"/>
        </w:rPr>
        <w:t xml:space="preserve"> Schön's work is the foundational text for understanding how professionals develop expertise through reflection. It provides the theoretical basis for self-assessment activities and establishes why reflective practice matters for ongoing professional development. Referenced in Harvard, MIT Sloan, and Stanford communication curricula.</w:t>
      </w:r>
    </w:p>
    <w:p>
      <w:pPr>
        <w:spacing w:before="0" w:after="120"/>
      </w:pPr>
      <w:r>
        <w:rPr>
          <w:b/>
          <w:sz w:val="20"/>
        </w:rPr>
        <w:t>Key Teaching Content:</w:t>
      </w:r>
    </w:p>
    <w:p>
      <w:pPr>
        <w:spacing w:before="0" w:after="120"/>
      </w:pPr>
      <w:r>
        <w:rPr>
          <w:b/>
          <w:sz w:val="20"/>
        </w:rPr>
        <w:t>Framework: Reflection-in-Action vs. Reflection-on-Action</w:t>
      </w:r>
    </w:p>
    <w:p>
      <w:pPr>
        <w:spacing w:before="0" w:after="0" w:line="276" w:lineRule="auto"/>
        <w:ind w:left="283"/>
      </w:pPr>
      <w:r>
        <w:rPr>
          <w:sz w:val="20"/>
        </w:rPr>
        <w:t xml:space="preserve">• </w:t>
      </w:r>
      <w:r>
        <w:rPr>
          <w:b/>
          <w:sz w:val="20"/>
        </w:rPr>
        <w:t>Definition:</w:t>
      </w:r>
      <w:r>
        <w:rPr>
          <w:sz w:val="20"/>
        </w:rPr>
        <w:t xml:space="preserve"> Two modes of professional reflection - during practice and after practice</w:t>
      </w:r>
    </w:p>
    <w:p>
      <w:pPr>
        <w:spacing w:before="0" w:after="0" w:line="276" w:lineRule="auto"/>
        <w:ind w:left="283"/>
      </w:pPr>
      <w:r>
        <w:rPr>
          <w:sz w:val="20"/>
        </w:rPr>
        <w:t xml:space="preserve">• </w:t>
      </w:r>
      <w:r>
        <w:rPr>
          <w:b/>
          <w:sz w:val="20"/>
        </w:rPr>
        <w:t>Components:</w:t>
      </w:r>
      <w:r>
        <w:rPr>
          <w:sz w:val="20"/>
        </w:rPr>
        <w:t xml:space="preserve"> </w:t>
      </w:r>
    </w:p>
    <w:p>
      <w:pPr>
        <w:spacing w:before="0" w:after="0" w:line="276" w:lineRule="auto"/>
        <w:ind w:left="567"/>
      </w:pPr>
      <w:r>
        <w:rPr>
          <w:sz w:val="20"/>
        </w:rPr>
        <w:t xml:space="preserve">• </w:t>
      </w:r>
      <w:r>
        <w:rPr>
          <w:sz w:val="20"/>
        </w:rPr>
        <w:t>Reflection-in-action: Real-time thinking while performing professional tasks</w:t>
      </w:r>
    </w:p>
    <w:p>
      <w:pPr>
        <w:spacing w:before="0" w:after="0" w:line="276" w:lineRule="auto"/>
        <w:ind w:left="567"/>
      </w:pPr>
      <w:r>
        <w:rPr>
          <w:sz w:val="20"/>
        </w:rPr>
        <w:t xml:space="preserve">• </w:t>
      </w:r>
      <w:r>
        <w:rPr>
          <w:sz w:val="20"/>
        </w:rPr>
        <w:t>Reflection-on-action: Retrospective analysis of professional experiences</w:t>
      </w:r>
    </w:p>
    <w:p>
      <w:pPr>
        <w:spacing w:before="0" w:after="0" w:line="276" w:lineRule="auto"/>
        <w:ind w:left="567"/>
      </w:pPr>
      <w:r>
        <w:rPr>
          <w:sz w:val="20"/>
        </w:rPr>
        <w:t xml:space="preserve">• </w:t>
      </w:r>
      <w:r>
        <w:rPr>
          <w:sz w:val="20"/>
        </w:rPr>
        <w:t>Knowing-in-action: Tacit knowledge embedded in skillful performance</w:t>
      </w:r>
    </w:p>
    <w:p>
      <w:pPr>
        <w:spacing w:before="0" w:after="0" w:line="276" w:lineRule="auto"/>
        <w:ind w:left="283"/>
      </w:pPr>
      <w:r>
        <w:rPr>
          <w:sz w:val="20"/>
        </w:rPr>
        <w:t xml:space="preserve">• </w:t>
      </w:r>
      <w:r>
        <w:rPr>
          <w:b/>
          <w:sz w:val="20"/>
        </w:rPr>
        <w:t>How it works:</w:t>
      </w:r>
      <w:r>
        <w:rPr>
          <w:sz w:val="20"/>
        </w:rPr>
        <w:t xml:space="preserve"> Professionals engage in continuous "conversation with the situation," adjusting approaches based on feedback</w:t>
      </w:r>
    </w:p>
    <w:p>
      <w:pPr>
        <w:spacing w:before="0" w:after="0" w:line="276" w:lineRule="auto"/>
        <w:ind w:left="283"/>
      </w:pPr>
      <w:r>
        <w:rPr>
          <w:sz w:val="20"/>
        </w:rPr>
        <w:t xml:space="preserve">• </w:t>
      </w:r>
      <w:r>
        <w:rPr>
          <w:b/>
          <w:sz w:val="20"/>
        </w:rPr>
        <w:t>Applications:</w:t>
      </w:r>
      <w:r>
        <w:rPr>
          <w:sz w:val="20"/>
        </w:rPr>
        <w:t xml:space="preserve"> Communication self-assessment, portfolio development, professional growth planning</w:t>
      </w:r>
    </w:p>
    <w:p>
      <w:pPr>
        <w:spacing w:before="0" w:after="0" w:line="276" w:lineRule="auto"/>
        <w:ind w:left="283"/>
      </w:pPr>
      <w:r>
        <w:rPr>
          <w:sz w:val="20"/>
        </w:rPr>
        <w:t xml:space="preserve">• </w:t>
      </w:r>
      <w:r>
        <w:rPr>
          <w:b/>
          <w:sz w:val="20"/>
        </w:rPr>
        <w:t>Example:</w:t>
      </w:r>
      <w:r>
        <w:rPr>
          <w:sz w:val="20"/>
        </w:rPr>
        <w:t xml:space="preserve"> A presenter who adjusts delivery mid-presentation based on audience cues (reflection-in-action), then later analyzes what worked (reflection-on-action)</w:t>
      </w:r>
    </w:p>
    <w:p>
      <w:pPr>
        <w:spacing w:before="0" w:after="120"/>
      </w:pPr>
      <w:r>
        <w:rPr>
          <w:b/>
          <w:sz w:val="20"/>
        </w:rPr>
        <w:t>Framework: Problem Setting vs. Problem Solving</w:t>
      </w:r>
    </w:p>
    <w:p>
      <w:pPr>
        <w:spacing w:before="0" w:after="0" w:line="276" w:lineRule="auto"/>
        <w:ind w:left="283"/>
      </w:pPr>
      <w:r>
        <w:rPr>
          <w:sz w:val="20"/>
        </w:rPr>
        <w:t xml:space="preserve">• </w:t>
      </w:r>
      <w:r>
        <w:rPr>
          <w:b/>
          <w:sz w:val="20"/>
        </w:rPr>
        <w:t>Definition:</w:t>
      </w:r>
      <w:r>
        <w:rPr>
          <w:sz w:val="20"/>
        </w:rPr>
        <w:t xml:space="preserve"> Effective professionals don't just solve given problems—they construct and frame problems from ambiguous situations</w:t>
      </w:r>
    </w:p>
    <w:p>
      <w:pPr>
        <w:spacing w:before="0" w:after="0" w:line="276" w:lineRule="auto"/>
        <w:ind w:left="283"/>
      </w:pPr>
      <w:r>
        <w:rPr>
          <w:sz w:val="20"/>
        </w:rPr>
        <w:t xml:space="preserve">• </w:t>
      </w:r>
      <w:r>
        <w:rPr>
          <w:b/>
          <w:sz w:val="20"/>
        </w:rPr>
        <w:t>Components:</w:t>
      </w:r>
      <w:r>
        <w:rPr>
          <w:sz w:val="20"/>
        </w:rPr>
        <w:t xml:space="preserve"> Situation assessment, problem framing, strategy selection</w:t>
      </w:r>
    </w:p>
    <w:p>
      <w:pPr>
        <w:spacing w:before="0" w:after="0" w:line="276" w:lineRule="auto"/>
        <w:ind w:left="283"/>
      </w:pPr>
      <w:r>
        <w:rPr>
          <w:sz w:val="20"/>
        </w:rPr>
        <w:t xml:space="preserve">• </w:t>
      </w:r>
      <w:r>
        <w:rPr>
          <w:b/>
          <w:sz w:val="20"/>
        </w:rPr>
        <w:t>How it works:</w:t>
      </w:r>
      <w:r>
        <w:rPr>
          <w:sz w:val="20"/>
        </w:rPr>
        <w:t xml:space="preserve"> Before applying communication techniques, professionals must first understand what communication challenge they actually face</w:t>
      </w:r>
    </w:p>
    <w:p>
      <w:pPr>
        <w:spacing w:before="0" w:after="0" w:line="276" w:lineRule="auto"/>
        <w:ind w:left="283"/>
      </w:pPr>
      <w:r>
        <w:rPr>
          <w:sz w:val="20"/>
        </w:rPr>
        <w:t xml:space="preserve">• </w:t>
      </w:r>
      <w:r>
        <w:rPr>
          <w:b/>
          <w:sz w:val="20"/>
        </w:rPr>
        <w:t>Applications:</w:t>
      </w:r>
      <w:r>
        <w:rPr>
          <w:sz w:val="20"/>
        </w:rPr>
        <w:t xml:space="preserve"> Strategic communication analysis, stakeholder assessment, message development</w:t>
      </w:r>
    </w:p>
    <w:p>
      <w:pPr>
        <w:spacing w:before="0" w:after="0" w:line="276" w:lineRule="auto"/>
        <w:ind w:left="283"/>
      </w:pPr>
      <w:r>
        <w:rPr>
          <w:sz w:val="20"/>
        </w:rPr>
        <w:t xml:space="preserve">• </w:t>
      </w:r>
      <w:r>
        <w:rPr>
          <w:b/>
          <w:sz w:val="20"/>
        </w:rPr>
        <w:t>Example:</w:t>
      </w:r>
      <w:r>
        <w:rPr>
          <w:sz w:val="20"/>
        </w:rPr>
        <w:t xml:space="preserve"> Recognizing that a "presentation problem" is actually a stakeholder alignment problem requiring different communication approach</w:t>
      </w:r>
    </w:p>
    <w:p>
      <w:pPr>
        <w:spacing w:before="0" w:after="120"/>
      </w:pPr>
      <w:r>
        <w:rPr>
          <w:b/>
          <w:sz w:val="20"/>
        </w:rPr>
        <w:t>Key Quotes/Stats:</w:t>
      </w:r>
    </w:p>
    <w:p>
      <w:pPr>
        <w:spacing w:before="0" w:after="0" w:line="276" w:lineRule="auto"/>
        <w:ind w:left="283"/>
      </w:pPr>
      <w:r>
        <w:rPr>
          <w:sz w:val="20"/>
        </w:rPr>
        <w:t xml:space="preserve">• </w:t>
      </w:r>
      <w:r>
        <w:rPr>
          <w:sz w:val="20"/>
        </w:rPr>
        <w:t>"The problems that practitioners face are not presented as givens. They must be constructed from the materials of problematic situations which are puzzling, troubling, and uncertain."</w:t>
      </w:r>
    </w:p>
    <w:p>
      <w:pPr>
        <w:spacing w:before="0" w:after="0" w:line="276" w:lineRule="auto"/>
        <w:ind w:left="283"/>
      </w:pPr>
      <w:r>
        <w:rPr>
          <w:sz w:val="20"/>
        </w:rPr>
        <w:t xml:space="preserve">• </w:t>
      </w:r>
      <w:r>
        <w:rPr>
          <w:sz w:val="20"/>
        </w:rPr>
        <w:t>"The best professionals know more than they can put into words."</w:t>
      </w:r>
    </w:p>
    <w:p>
      <w:pPr>
        <w:spacing w:before="0" w:after="0" w:line="276" w:lineRule="auto"/>
        <w:ind w:left="283"/>
      </w:pPr>
      <w:r>
        <w:rPr>
          <w:sz w:val="20"/>
        </w:rPr>
        <w:t xml:space="preserve">• </w:t>
      </w:r>
      <w:r>
        <w:rPr>
          <w:sz w:val="20"/>
        </w:rPr>
        <w:t>Central thesis: Professional expertise involves "knowing-in-action" that goes beyond technical procedures</w:t>
      </w:r>
    </w:p>
    <w:p>
      <w:pPr>
        <w:pStyle w:val="Heading2"/>
        <w:keepNext/>
        <w:spacing w:before="240" w:after="120"/>
      </w:pPr>
      <w:r>
        <w:rPr>
          <w:sz w:val="20"/>
        </w:rPr>
        <w:t>Article 2: Experiential Learning: Experience as the Source of Learning and Development (SEMINAL)</w:t>
      </w:r>
    </w:p>
    <w:p>
      <w:pPr>
        <w:spacing w:before="0" w:after="120"/>
      </w:pPr>
      <w:r>
        <w:rPr>
          <w:sz w:val="20"/>
        </w:rPr>
        <w:t xml:space="preserve">Kolb, D. A. (1984). </w:t>
      </w:r>
      <w:r>
        <w:rPr>
          <w:i/>
          <w:sz w:val="20"/>
        </w:rPr>
        <w:t>Experiential learning: Experience as the source of learning and development</w:t>
      </w:r>
      <w:r>
        <w:rPr>
          <w:sz w:val="20"/>
        </w:rPr>
        <w:t>. Prentice-Hall.</w:t>
      </w:r>
    </w:p>
    <w:p>
      <w:pPr>
        <w:spacing w:before="0" w:after="120"/>
      </w:pPr>
      <w:r>
        <w:rPr>
          <w:sz w:val="20"/>
        </w:rPr>
        <w:t>Updated edition:</w:t>
      </w:r>
    </w:p>
    <w:p>
      <w:pPr>
        <w:spacing w:before="0" w:after="120"/>
      </w:pPr>
      <w:r>
        <w:rPr>
          <w:sz w:val="20"/>
        </w:rPr>
        <w:t xml:space="preserve">Kolb, D. A. (2015). </w:t>
      </w:r>
      <w:r>
        <w:rPr>
          <w:i/>
          <w:sz w:val="20"/>
        </w:rPr>
        <w:t>Experiential learning: Experience as the source of learning and development</w:t>
      </w:r>
      <w:r>
        <w:rPr>
          <w:sz w:val="20"/>
        </w:rPr>
        <w:t xml:space="preserve"> (2nd ed.). Pearson Education.</w:t>
      </w:r>
    </w:p>
    <w:p>
      <w:pPr>
        <w:spacing w:before="0" w:after="120"/>
      </w:pPr>
      <w:r>
        <w:rPr>
          <w:b/>
          <w:sz w:val="20"/>
        </w:rPr>
        <w:t>URL:</w:t>
      </w:r>
      <w:r>
        <w:rPr>
          <w:sz w:val="20"/>
        </w:rPr>
        <w:t xml:space="preserve"> https://www.amazon.com/Experiential-Learning-Experience-Source-Development/dp/0133892409</w:t>
      </w:r>
    </w:p>
    <w:p>
      <w:pPr>
        <w:spacing w:before="0" w:after="120"/>
      </w:pPr>
      <w:r>
        <w:rPr>
          <w:b/>
          <w:sz w:val="20"/>
        </w:rPr>
        <w:t>Type:</w:t>
      </w:r>
      <w:r>
        <w:rPr>
          <w:sz w:val="20"/>
        </w:rPr>
        <w:t xml:space="preserve"> Seminal classic / Foundational theory</w:t>
      </w:r>
    </w:p>
    <w:p>
      <w:pPr>
        <w:spacing w:before="0" w:after="120"/>
      </w:pPr>
      <w:r>
        <w:rPr>
          <w:b/>
          <w:sz w:val="20"/>
        </w:rPr>
        <w:t>Access:</w:t>
      </w:r>
      <w:r>
        <w:rPr>
          <w:sz w:val="20"/>
        </w:rPr>
        <w:t xml:space="preserve"> Paywalled seminal (available for purchase)</w:t>
      </w:r>
    </w:p>
    <w:p>
      <w:pPr>
        <w:spacing w:before="0" w:after="120"/>
      </w:pPr>
      <w:r>
        <w:rPr>
          <w:b/>
          <w:sz w:val="20"/>
        </w:rPr>
        <w:t>Citations:</w:t>
      </w:r>
      <w:r>
        <w:rPr>
          <w:sz w:val="20"/>
        </w:rPr>
        <w:t xml:space="preserve"> 16,000+ (most cited work in adult learning theory)</w:t>
      </w:r>
    </w:p>
    <w:p>
      <w:pPr>
        <w:spacing w:before="0" w:after="120"/>
      </w:pPr>
      <w:r>
        <w:rPr>
          <w:b/>
          <w:sz w:val="20"/>
        </w:rPr>
        <w:t>Primary Focus:</w:t>
      </w:r>
      <w:r>
        <w:rPr>
          <w:sz w:val="20"/>
        </w:rPr>
        <w:t xml:space="preserve"> Capstone presentation, self-assessment, development planning, course synthesis</w:t>
      </w:r>
    </w:p>
    <w:p>
      <w:pPr>
        <w:spacing w:before="0" w:after="120"/>
      </w:pPr>
      <w:r>
        <w:rPr>
          <w:b/>
          <w:sz w:val="20"/>
        </w:rPr>
        <w:t>Content Match:</w:t>
      </w:r>
    </w:p>
    <w:p>
      <w:pPr>
        <w:spacing w:before="0" w:after="120"/>
      </w:pPr>
      <w:r>
        <w:rPr>
          <w:sz w:val="20"/>
        </w:rPr>
        <w:t xml:space="preserve">✓ </w:t>
      </w:r>
      <w:r>
        <w:rPr>
          <w:b/>
          <w:sz w:val="20"/>
        </w:rPr>
        <w:t>Capstone presentation:</w:t>
      </w:r>
      <w:r>
        <w:rPr>
          <w:sz w:val="20"/>
        </w:rPr>
        <w:t xml:space="preserve"> Framework for designing integrative learning experiences</w:t>
      </w:r>
    </w:p>
    <w:p>
      <w:pPr>
        <w:spacing w:before="0" w:after="120"/>
      </w:pPr>
      <w:r>
        <w:rPr>
          <w:sz w:val="20"/>
        </w:rPr>
        <w:t xml:space="preserve">✓ </w:t>
      </w:r>
      <w:r>
        <w:rPr>
          <w:b/>
          <w:sz w:val="20"/>
        </w:rPr>
        <w:t>Self-assessment:</w:t>
      </w:r>
      <w:r>
        <w:rPr>
          <w:sz w:val="20"/>
        </w:rPr>
        <w:t xml:space="preserve"> Learning Style Inventory provides diagnostic tool</w:t>
      </w:r>
    </w:p>
    <w:p>
      <w:pPr>
        <w:spacing w:before="0" w:after="120"/>
      </w:pPr>
      <w:r>
        <w:rPr>
          <w:sz w:val="20"/>
        </w:rPr>
        <w:t xml:space="preserve">✓ </w:t>
      </w:r>
      <w:r>
        <w:rPr>
          <w:b/>
          <w:sz w:val="20"/>
        </w:rPr>
        <w:t>Development planning:</w:t>
      </w:r>
      <w:r>
        <w:rPr>
          <w:sz w:val="20"/>
        </w:rPr>
        <w:t xml:space="preserve"> Identifies which learning modes need strengthening</w:t>
      </w:r>
    </w:p>
    <w:p>
      <w:pPr>
        <w:spacing w:before="0" w:after="120"/>
      </w:pPr>
      <w:r>
        <w:rPr>
          <w:sz w:val="20"/>
        </w:rPr>
        <w:t xml:space="preserve">✓ </w:t>
      </w:r>
      <w:r>
        <w:rPr>
          <w:b/>
          <w:sz w:val="20"/>
        </w:rPr>
        <w:t>Course synthesis:</w:t>
      </w:r>
      <w:r>
        <w:rPr>
          <w:sz w:val="20"/>
        </w:rPr>
        <w:t xml:space="preserve"> Cyclical model for integrating all learning experiences</w:t>
      </w:r>
    </w:p>
    <w:p>
      <w:pPr>
        <w:spacing w:before="0" w:after="120"/>
      </w:pPr>
      <w:r>
        <w:rPr>
          <w:b/>
          <w:sz w:val="20"/>
        </w:rPr>
        <w:t>Why Selected:</w:t>
      </w:r>
      <w:r>
        <w:rPr>
          <w:sz w:val="20"/>
        </w:rPr>
        <w:t xml:space="preserve"> Kolb's Experiential Learning Cycle is the most influential framework for understanding how adults learn from experience. It provides both a diagnostic tool (Learning Style Inventory) and a prescriptive model for designing capstone experiences that integrate all course learning. Referenced in virtually all M7 business school pedagogy.</w:t>
      </w:r>
    </w:p>
    <w:p>
      <w:pPr>
        <w:spacing w:before="0" w:after="120"/>
      </w:pPr>
      <w:r>
        <w:rPr>
          <w:b/>
          <w:sz w:val="20"/>
        </w:rPr>
        <w:t>Key Teaching Content:</w:t>
      </w:r>
    </w:p>
    <w:p>
      <w:pPr>
        <w:spacing w:before="0" w:after="120"/>
      </w:pPr>
      <w:r>
        <w:rPr>
          <w:b/>
          <w:sz w:val="20"/>
        </w:rPr>
        <w:t>Framework: Experiential Learning Cycle (Four Stages)</w:t>
      </w:r>
    </w:p>
    <w:p>
      <w:pPr>
        <w:spacing w:before="0" w:after="0" w:line="276" w:lineRule="auto"/>
        <w:ind w:left="283"/>
      </w:pPr>
      <w:r>
        <w:rPr>
          <w:sz w:val="20"/>
        </w:rPr>
        <w:t xml:space="preserve">• </w:t>
      </w:r>
      <w:r>
        <w:rPr>
          <w:b/>
          <w:sz w:val="20"/>
        </w:rPr>
        <w:t>Definition:</w:t>
      </w:r>
      <w:r>
        <w:rPr>
          <w:sz w:val="20"/>
        </w:rPr>
        <w:t xml:space="preserve"> Learning as cyclical process requiring progression through four distinct stages</w:t>
      </w:r>
    </w:p>
    <w:p>
      <w:pPr>
        <w:spacing w:before="0" w:after="0" w:line="276" w:lineRule="auto"/>
        <w:ind w:left="283"/>
      </w:pPr>
      <w:r>
        <w:rPr>
          <w:sz w:val="20"/>
        </w:rPr>
        <w:t xml:space="preserve">• </w:t>
      </w:r>
      <w:r>
        <w:rPr>
          <w:b/>
          <w:sz w:val="20"/>
        </w:rPr>
        <w:t>Components:</w:t>
      </w:r>
    </w:p>
    <w:p>
      <w:pPr>
        <w:spacing w:before="0" w:after="0" w:line="276" w:lineRule="auto"/>
        <w:ind w:left="567"/>
      </w:pPr>
      <w:r>
        <w:rPr>
          <w:sz w:val="20"/>
        </w:rPr>
        <w:t xml:space="preserve">1. </w:t>
      </w:r>
      <w:r>
        <w:rPr>
          <w:b/>
          <w:sz w:val="20"/>
        </w:rPr>
        <w:t>Concrete Experience (CE):</w:t>
      </w:r>
      <w:r>
        <w:rPr>
          <w:sz w:val="20"/>
        </w:rPr>
        <w:t xml:space="preserve"> Direct involvement in new experience—the "doing" phase</w:t>
      </w:r>
    </w:p>
    <w:p>
      <w:pPr>
        <w:spacing w:before="0" w:after="0" w:line="276" w:lineRule="auto"/>
        <w:ind w:left="567"/>
      </w:pPr>
      <w:r>
        <w:rPr>
          <w:sz w:val="20"/>
        </w:rPr>
        <w:t xml:space="preserve">2. </w:t>
      </w:r>
      <w:r>
        <w:rPr>
          <w:b/>
          <w:sz w:val="20"/>
        </w:rPr>
        <w:t>Reflective Observation (RO):</w:t>
      </w:r>
      <w:r>
        <w:rPr>
          <w:sz w:val="20"/>
        </w:rPr>
        <w:t xml:space="preserve"> Watching and reflecting from multiple perspectives—the "reviewing" phase</w:t>
      </w:r>
    </w:p>
    <w:p>
      <w:pPr>
        <w:spacing w:before="0" w:after="0" w:line="276" w:lineRule="auto"/>
        <w:ind w:left="567"/>
      </w:pPr>
      <w:r>
        <w:rPr>
          <w:sz w:val="20"/>
        </w:rPr>
        <w:t xml:space="preserve">3. </w:t>
      </w:r>
      <w:r>
        <w:rPr>
          <w:b/>
          <w:sz w:val="20"/>
        </w:rPr>
        <w:t>Abstract Conceptualization (AC):</w:t>
      </w:r>
      <w:r>
        <w:rPr>
          <w:sz w:val="20"/>
        </w:rPr>
        <w:t xml:space="preserve"> Creating theories to explain observations—the "concluding" phase</w:t>
      </w:r>
    </w:p>
    <w:p>
      <w:pPr>
        <w:spacing w:before="0" w:after="0" w:line="276" w:lineRule="auto"/>
        <w:ind w:left="567"/>
      </w:pPr>
      <w:r>
        <w:rPr>
          <w:sz w:val="20"/>
        </w:rPr>
        <w:t xml:space="preserve">4. </w:t>
      </w:r>
      <w:r>
        <w:rPr>
          <w:b/>
          <w:sz w:val="20"/>
        </w:rPr>
        <w:t>Active Experimentation (AE):</w:t>
      </w:r>
      <w:r>
        <w:rPr>
          <w:sz w:val="20"/>
        </w:rPr>
        <w:t xml:space="preserve"> Testing theories in new situations—the "planning" phase</w:t>
      </w:r>
    </w:p>
    <w:p>
      <w:pPr>
        <w:spacing w:before="0" w:after="0" w:line="276" w:lineRule="auto"/>
        <w:ind w:left="283"/>
      </w:pPr>
      <w:r>
        <w:rPr>
          <w:sz w:val="20"/>
        </w:rPr>
        <w:t xml:space="preserve">• </w:t>
      </w:r>
      <w:r>
        <w:rPr>
          <w:b/>
          <w:sz w:val="20"/>
        </w:rPr>
        <w:t>How it works:</w:t>
      </w:r>
      <w:r>
        <w:rPr>
          <w:sz w:val="20"/>
        </w:rPr>
        <w:t xml:space="preserve"> Effective learning requires engaging all four stages; learners may enter at any point but must progress through entire cycle</w:t>
      </w:r>
    </w:p>
    <w:p>
      <w:pPr>
        <w:spacing w:before="0" w:after="0" w:line="276" w:lineRule="auto"/>
        <w:ind w:left="283"/>
      </w:pPr>
      <w:r>
        <w:rPr>
          <w:sz w:val="20"/>
        </w:rPr>
        <w:t xml:space="preserve">• </w:t>
      </w:r>
      <w:r>
        <w:rPr>
          <w:b/>
          <w:sz w:val="20"/>
        </w:rPr>
        <w:t>Applications:</w:t>
      </w:r>
      <w:r>
        <w:rPr>
          <w:sz w:val="20"/>
        </w:rPr>
        <w:t xml:space="preserve"> Capstone project design, communication skill development, self-assessment structure</w:t>
      </w:r>
    </w:p>
    <w:p>
      <w:pPr>
        <w:spacing w:before="0" w:after="0" w:line="276" w:lineRule="auto"/>
        <w:ind w:left="283"/>
      </w:pPr>
      <w:r>
        <w:rPr>
          <w:sz w:val="20"/>
        </w:rPr>
        <w:t xml:space="preserve">• </w:t>
      </w:r>
      <w:r>
        <w:rPr>
          <w:b/>
          <w:sz w:val="20"/>
        </w:rPr>
        <w:t>Example:</w:t>
      </w:r>
      <w:r>
        <w:rPr>
          <w:sz w:val="20"/>
        </w:rPr>
        <w:t xml:space="preserve"> Communication course progression—practice presentations (CE), receive feedback and reflect (RO), develop personal communication theory (AC), apply in new contexts (AE)</w:t>
      </w:r>
    </w:p>
    <w:p>
      <w:pPr>
        <w:spacing w:before="0" w:after="120"/>
      </w:pPr>
      <w:r>
        <w:rPr>
          <w:b/>
          <w:sz w:val="20"/>
        </w:rPr>
        <w:t>Framework: Four Learning Styles</w:t>
      </w:r>
    </w:p>
    <w:p>
      <w:pPr>
        <w:spacing w:before="0" w:after="0" w:line="276" w:lineRule="auto"/>
        <w:ind w:left="283"/>
      </w:pPr>
      <w:r>
        <w:rPr>
          <w:sz w:val="20"/>
        </w:rPr>
        <w:t xml:space="preserve">• </w:t>
      </w:r>
      <w:r>
        <w:rPr>
          <w:b/>
          <w:sz w:val="20"/>
        </w:rPr>
        <w:t>Definition:</w:t>
      </w:r>
      <w:r>
        <w:rPr>
          <w:sz w:val="20"/>
        </w:rPr>
        <w:t xml:space="preserve"> Individual preferences for how people learn</w:t>
      </w:r>
    </w:p>
    <w:p>
      <w:pPr>
        <w:spacing w:before="0" w:after="0" w:line="276" w:lineRule="auto"/>
        <w:ind w:left="283"/>
      </w:pPr>
      <w:r>
        <w:rPr>
          <w:sz w:val="20"/>
        </w:rPr>
        <w:t xml:space="preserve">• </w:t>
      </w:r>
      <w:r>
        <w:rPr>
          <w:b/>
          <w:sz w:val="20"/>
        </w:rPr>
        <w:t>Components:</w:t>
      </w:r>
    </w:p>
    <w:p>
      <w:pPr>
        <w:spacing w:before="0" w:after="0" w:line="276" w:lineRule="auto"/>
        <w:ind w:left="567"/>
      </w:pPr>
      <w:r>
        <w:rPr>
          <w:sz w:val="20"/>
        </w:rPr>
        <w:t xml:space="preserve">• </w:t>
      </w:r>
      <w:r>
        <w:rPr>
          <w:b/>
          <w:sz w:val="20"/>
        </w:rPr>
        <w:t>Diverging (CE/RO):</w:t>
      </w:r>
      <w:r>
        <w:rPr>
          <w:sz w:val="20"/>
        </w:rPr>
        <w:t xml:space="preserve"> Imaginative, feeling-oriented, views from multiple perspectives</w:t>
      </w:r>
    </w:p>
    <w:p>
      <w:pPr>
        <w:spacing w:before="0" w:after="0" w:line="276" w:lineRule="auto"/>
        <w:ind w:left="567"/>
      </w:pPr>
      <w:r>
        <w:rPr>
          <w:sz w:val="20"/>
        </w:rPr>
        <w:t xml:space="preserve">• </w:t>
      </w:r>
      <w:r>
        <w:rPr>
          <w:b/>
          <w:sz w:val="20"/>
        </w:rPr>
        <w:t>Assimilating (AC/RO):</w:t>
      </w:r>
      <w:r>
        <w:rPr>
          <w:sz w:val="20"/>
        </w:rPr>
        <w:t xml:space="preserve"> Logical, idea-focused, understands wide-ranging information</w:t>
      </w:r>
    </w:p>
    <w:p>
      <w:pPr>
        <w:spacing w:before="0" w:after="0" w:line="276" w:lineRule="auto"/>
        <w:ind w:left="567"/>
      </w:pPr>
      <w:r>
        <w:rPr>
          <w:sz w:val="20"/>
        </w:rPr>
        <w:t xml:space="preserve">• </w:t>
      </w:r>
      <w:r>
        <w:rPr>
          <w:b/>
          <w:sz w:val="20"/>
        </w:rPr>
        <w:t>Converging (AC/AE):</w:t>
      </w:r>
      <w:r>
        <w:rPr>
          <w:sz w:val="20"/>
        </w:rPr>
        <w:t xml:space="preserve"> Problem-solving oriented, finds practical applications</w:t>
      </w:r>
    </w:p>
    <w:p>
      <w:pPr>
        <w:spacing w:before="0" w:after="0" w:line="276" w:lineRule="auto"/>
        <w:ind w:left="567"/>
      </w:pPr>
      <w:r>
        <w:rPr>
          <w:sz w:val="20"/>
        </w:rPr>
        <w:t xml:space="preserve">• </w:t>
      </w:r>
      <w:r>
        <w:rPr>
          <w:b/>
          <w:sz w:val="20"/>
        </w:rPr>
        <w:t>Accommodating (CE/AE):</w:t>
      </w:r>
      <w:r>
        <w:rPr>
          <w:sz w:val="20"/>
        </w:rPr>
        <w:t xml:space="preserve"> Action-oriented, hands-on learning, relies on intuition</w:t>
      </w:r>
    </w:p>
    <w:p>
      <w:pPr>
        <w:spacing w:before="0" w:after="0" w:line="276" w:lineRule="auto"/>
        <w:ind w:left="283"/>
      </w:pPr>
      <w:r>
        <w:rPr>
          <w:sz w:val="20"/>
        </w:rPr>
        <w:t xml:space="preserve">• </w:t>
      </w:r>
      <w:r>
        <w:rPr>
          <w:b/>
          <w:sz w:val="20"/>
        </w:rPr>
        <w:t>How it works:</w:t>
      </w:r>
      <w:r>
        <w:rPr>
          <w:sz w:val="20"/>
        </w:rPr>
        <w:t xml:space="preserve"> Individuals have preferences but can develop flexibility across all modes</w:t>
      </w:r>
    </w:p>
    <w:p>
      <w:pPr>
        <w:spacing w:before="0" w:after="0" w:line="276" w:lineRule="auto"/>
        <w:ind w:left="283"/>
      </w:pPr>
      <w:r>
        <w:rPr>
          <w:sz w:val="20"/>
        </w:rPr>
        <w:t xml:space="preserve">• </w:t>
      </w:r>
      <w:r>
        <w:rPr>
          <w:b/>
          <w:sz w:val="20"/>
        </w:rPr>
        <w:t>Applications:</w:t>
      </w:r>
      <w:r>
        <w:rPr>
          <w:sz w:val="20"/>
        </w:rPr>
        <w:t xml:space="preserve"> Self-assessment of learning preferences, identifying development gaps, understanding team dynamics</w:t>
      </w:r>
    </w:p>
    <w:p>
      <w:pPr>
        <w:spacing w:before="0" w:after="0" w:line="276" w:lineRule="auto"/>
        <w:ind w:left="283"/>
      </w:pPr>
      <w:r>
        <w:rPr>
          <w:sz w:val="20"/>
        </w:rPr>
        <w:t xml:space="preserve">• </w:t>
      </w:r>
      <w:r>
        <w:rPr>
          <w:b/>
          <w:sz w:val="20"/>
        </w:rPr>
        <w:t>Example:</w:t>
      </w:r>
      <w:r>
        <w:rPr>
          <w:sz w:val="20"/>
        </w:rPr>
        <w:t xml:space="preserve"> Student recognizing they excel at concrete experiences but need to strengthen abstract conceptualization for strategic communication planning</w:t>
      </w:r>
    </w:p>
    <w:p>
      <w:pPr>
        <w:spacing w:before="0" w:after="120"/>
      </w:pPr>
      <w:r>
        <w:rPr>
          <w:b/>
          <w:sz w:val="20"/>
        </w:rPr>
        <w:t>Key Quotes/Stats:</w:t>
      </w:r>
    </w:p>
    <w:p>
      <w:pPr>
        <w:spacing w:before="0" w:after="0" w:line="276" w:lineRule="auto"/>
        <w:ind w:left="283"/>
      </w:pPr>
      <w:r>
        <w:rPr>
          <w:sz w:val="20"/>
        </w:rPr>
        <w:t xml:space="preserve">• </w:t>
      </w:r>
      <w:r>
        <w:rPr>
          <w:sz w:val="20"/>
        </w:rPr>
        <w:t>"Learning is the process whereby knowledge is created through the transformation of experience."</w:t>
      </w:r>
    </w:p>
    <w:p>
      <w:pPr>
        <w:spacing w:before="0" w:after="0" w:line="276" w:lineRule="auto"/>
        <w:ind w:left="283"/>
      </w:pPr>
      <w:r>
        <w:rPr>
          <w:sz w:val="20"/>
        </w:rPr>
        <w:t xml:space="preserve">• </w:t>
      </w:r>
      <w:r>
        <w:rPr>
          <w:sz w:val="20"/>
        </w:rPr>
        <w:t>Learning Style Inventory now in version 4.0, validated across thousands of studies</w:t>
      </w:r>
    </w:p>
    <w:p>
      <w:pPr>
        <w:spacing w:before="0" w:after="0" w:line="276" w:lineRule="auto"/>
        <w:ind w:left="283"/>
      </w:pPr>
      <w:r>
        <w:rPr>
          <w:sz w:val="20"/>
        </w:rPr>
        <w:t xml:space="preserve">• </w:t>
      </w:r>
      <w:r>
        <w:rPr>
          <w:sz w:val="20"/>
        </w:rPr>
        <w:t>Framework has been applied in management education for 40+ years</w:t>
      </w:r>
    </w:p>
    <w:p>
      <w:pPr>
        <w:pStyle w:val="Heading2"/>
        <w:keepNext/>
        <w:spacing w:before="240" w:after="120"/>
      </w:pPr>
      <w:r>
        <w:rPr>
          <w:sz w:val="20"/>
        </w:rPr>
        <w:t>Article 3: How to Develop Continuous Learners (RECENT)</w:t>
      </w:r>
    </w:p>
    <w:p>
      <w:pPr>
        <w:spacing w:before="0" w:after="120"/>
      </w:pPr>
      <w:r>
        <w:rPr>
          <w:sz w:val="20"/>
        </w:rPr>
        <w:t xml:space="preserve">Tan, W., &amp; Tan, J.-S. (2024, October 7). How to develop continuous learners. </w:t>
      </w:r>
      <w:r>
        <w:rPr>
          <w:i/>
          <w:sz w:val="20"/>
        </w:rPr>
        <w:t>MIT Sloan Management Review</w:t>
      </w:r>
      <w:r>
        <w:rPr>
          <w:sz w:val="20"/>
        </w:rPr>
        <w:t>. https://sloanreview.mit.edu/article/how-to-develop-continuous-learners/</w:t>
      </w:r>
    </w:p>
    <w:p>
      <w:pPr>
        <w:spacing w:before="0" w:after="120"/>
      </w:pPr>
      <w:r>
        <w:rPr>
          <w:b/>
          <w:sz w:val="20"/>
        </w:rPr>
        <w:t>URL:</w:t>
      </w:r>
      <w:r>
        <w:rPr>
          <w:sz w:val="20"/>
        </w:rPr>
        <w:t xml:space="preserve"> https://sloanreview.mit.edu/article/how-to-develop-continuous-learners/</w:t>
      </w:r>
    </w:p>
    <w:p>
      <w:pPr>
        <w:spacing w:before="0" w:after="120"/>
      </w:pPr>
      <w:r>
        <w:rPr>
          <w:b/>
          <w:sz w:val="20"/>
        </w:rPr>
        <w:t>Type:</w:t>
      </w:r>
      <w:r>
        <w:rPr>
          <w:sz w:val="20"/>
        </w:rPr>
        <w:t xml:space="preserve"> MIT Sloan Management Review</w:t>
      </w:r>
    </w:p>
    <w:p>
      <w:pPr>
        <w:spacing w:before="0" w:after="120"/>
      </w:pPr>
      <w:r>
        <w:rPr>
          <w:b/>
          <w:sz w:val="20"/>
        </w:rPr>
        <w:t>Access:</w:t>
      </w:r>
      <w:r>
        <w:rPr>
          <w:sz w:val="20"/>
        </w:rPr>
        <w:t xml:space="preserve"> Partial open access (summary available; full article requires subscription)</w:t>
      </w:r>
    </w:p>
    <w:p>
      <w:pPr>
        <w:spacing w:before="0" w:after="120"/>
      </w:pPr>
      <w:r>
        <w:rPr>
          <w:b/>
          <w:sz w:val="20"/>
        </w:rPr>
        <w:t>Publication Date:</w:t>
      </w:r>
      <w:r>
        <w:rPr>
          <w:sz w:val="20"/>
        </w:rPr>
        <w:t xml:space="preserve"> October 2024</w:t>
      </w:r>
    </w:p>
    <w:p>
      <w:pPr>
        <w:spacing w:before="0" w:after="120"/>
      </w:pPr>
      <w:r>
        <w:rPr>
          <w:b/>
          <w:sz w:val="20"/>
        </w:rPr>
        <w:t>Primary Focus:</w:t>
      </w:r>
      <w:r>
        <w:rPr>
          <w:sz w:val="20"/>
        </w:rPr>
        <w:t xml:space="preserve"> Self-assessment, development planning</w:t>
      </w:r>
    </w:p>
    <w:p>
      <w:pPr>
        <w:spacing w:before="0" w:after="120"/>
      </w:pPr>
      <w:r>
        <w:rPr>
          <w:b/>
          <w:sz w:val="20"/>
        </w:rPr>
        <w:t>Content Match:</w:t>
      </w:r>
    </w:p>
    <w:p>
      <w:pPr>
        <w:spacing w:before="0" w:after="120"/>
      </w:pPr>
      <w:r>
        <w:rPr>
          <w:sz w:val="20"/>
        </w:rPr>
        <w:t xml:space="preserve">✓ </w:t>
      </w:r>
      <w:r>
        <w:rPr>
          <w:b/>
          <w:sz w:val="20"/>
        </w:rPr>
        <w:t>Self-assessment:</w:t>
      </w:r>
      <w:r>
        <w:rPr>
          <w:sz w:val="20"/>
        </w:rPr>
        <w:t xml:space="preserve"> Meta-learning questions framework for self-evaluation</w:t>
      </w:r>
    </w:p>
    <w:p>
      <w:pPr>
        <w:spacing w:before="0" w:after="120"/>
      </w:pPr>
      <w:r>
        <w:rPr>
          <w:sz w:val="20"/>
        </w:rPr>
        <w:t xml:space="preserve">✓ </w:t>
      </w:r>
      <w:r>
        <w:rPr>
          <w:b/>
          <w:sz w:val="20"/>
        </w:rPr>
        <w:t>Development planning:</w:t>
      </w:r>
      <w:r>
        <w:rPr>
          <w:sz w:val="20"/>
        </w:rPr>
        <w:t xml:space="preserve"> Four evidence-based strategies for continuous learning</w:t>
      </w:r>
    </w:p>
    <w:p>
      <w:pPr>
        <w:spacing w:before="0" w:after="120"/>
      </w:pPr>
      <w:r>
        <w:rPr>
          <w:sz w:val="20"/>
        </w:rPr>
        <w:t xml:space="preserve">✓ </w:t>
      </w:r>
      <w:r>
        <w:rPr>
          <w:b/>
          <w:sz w:val="20"/>
        </w:rPr>
        <w:t>Course synthesis:</w:t>
      </w:r>
      <w:r>
        <w:rPr>
          <w:sz w:val="20"/>
        </w:rPr>
        <w:t xml:space="preserve"> Connects learning to purpose and career goals</w:t>
      </w:r>
    </w:p>
    <w:p>
      <w:pPr>
        <w:spacing w:before="0" w:after="120"/>
      </w:pPr>
      <w:r>
        <w:rPr>
          <w:sz w:val="20"/>
        </w:rPr>
        <w:t xml:space="preserve">✗ </w:t>
      </w:r>
      <w:r>
        <w:rPr>
          <w:b/>
          <w:sz w:val="20"/>
        </w:rPr>
        <w:t>Capstone presentation:</w:t>
      </w:r>
      <w:r>
        <w:rPr>
          <w:sz w:val="20"/>
        </w:rPr>
        <w:t xml:space="preserve"> Not directly covered</w:t>
      </w:r>
    </w:p>
    <w:p>
      <w:pPr>
        <w:spacing w:before="0" w:after="120"/>
      </w:pPr>
      <w:r>
        <w:rPr>
          <w:b/>
          <w:sz w:val="20"/>
        </w:rPr>
        <w:t>Why Selected:</w:t>
      </w:r>
      <w:r>
        <w:rPr>
          <w:sz w:val="20"/>
        </w:rPr>
        <w:t xml:space="preserve"> This research-based article provides contemporary, evidence-backed frameworks for professional development planning. Drawing on qualitative interviews with 24 career switchers and survey analysis of 340 professionals, it offers actionable strategies students can apply immediately for ongoing communication skill development. Perfect complement to foundational theories.</w:t>
      </w:r>
    </w:p>
    <w:p>
      <w:pPr>
        <w:spacing w:before="0" w:after="120"/>
      </w:pPr>
      <w:r>
        <w:rPr>
          <w:b/>
          <w:sz w:val="20"/>
        </w:rPr>
        <w:t>Key Teaching Content:</w:t>
      </w:r>
    </w:p>
    <w:p>
      <w:pPr>
        <w:spacing w:before="0" w:after="120"/>
      </w:pPr>
      <w:r>
        <w:rPr>
          <w:b/>
          <w:sz w:val="20"/>
        </w:rPr>
        <w:t>Main Insight: Four Strategies for Learning Agility</w:t>
      </w:r>
    </w:p>
    <w:p>
      <w:pPr>
        <w:spacing w:before="0" w:after="0" w:line="276" w:lineRule="auto"/>
        <w:ind w:left="283"/>
      </w:pPr>
      <w:r>
        <w:rPr>
          <w:sz w:val="20"/>
        </w:rPr>
        <w:t xml:space="preserve">• </w:t>
      </w:r>
      <w:r>
        <w:rPr>
          <w:b/>
          <w:sz w:val="20"/>
        </w:rPr>
        <w:t>Problem/context:</w:t>
      </w:r>
      <w:r>
        <w:rPr>
          <w:sz w:val="20"/>
        </w:rPr>
        <w:t xml:space="preserve"> World Economic Forum estimates 44% of core skills will change by 2027; 79% of CEOs concerned skills shortages will hinder growth</w:t>
      </w:r>
    </w:p>
    <w:p>
      <w:pPr>
        <w:spacing w:before="0" w:after="0" w:line="276" w:lineRule="auto"/>
        <w:ind w:left="283"/>
      </w:pPr>
      <w:r>
        <w:rPr>
          <w:sz w:val="20"/>
        </w:rPr>
        <w:t xml:space="preserve">• </w:t>
      </w:r>
      <w:r>
        <w:rPr>
          <w:b/>
          <w:sz w:val="20"/>
        </w:rPr>
        <w:t>Approach:</w:t>
      </w:r>
      <w:r>
        <w:rPr>
          <w:sz w:val="20"/>
        </w:rPr>
        <w:t xml:space="preserve"> Research-based framework for developing continuous learning capabilities</w:t>
      </w:r>
    </w:p>
    <w:p>
      <w:pPr>
        <w:spacing w:before="0" w:after="0" w:line="276" w:lineRule="auto"/>
        <w:ind w:left="283"/>
      </w:pPr>
      <w:r>
        <w:rPr>
          <w:sz w:val="20"/>
        </w:rPr>
        <w:t xml:space="preserve">• </w:t>
      </w:r>
      <w:r>
        <w:rPr>
          <w:b/>
          <w:sz w:val="20"/>
        </w:rPr>
        <w:t>Why it matters:</w:t>
      </w:r>
      <w:r>
        <w:rPr>
          <w:sz w:val="20"/>
        </w:rPr>
        <w:t xml:space="preserve"> Communication skills require ongoing development; "one life, one career" giving way to portfolio careers</w:t>
      </w:r>
    </w:p>
    <w:p>
      <w:pPr>
        <w:spacing w:before="0" w:after="120"/>
      </w:pPr>
      <w:r>
        <w:rPr>
          <w:b/>
          <w:sz w:val="20"/>
        </w:rPr>
        <w:t>Practical Applications:</w:t>
      </w:r>
    </w:p>
    <w:p>
      <w:pPr>
        <w:spacing w:before="0" w:after="120"/>
      </w:pPr>
      <w:r>
        <w:rPr>
          <w:b/>
          <w:sz w:val="20"/>
        </w:rPr>
        <w:t>Strategy 1: Link Purpose to Learning</w:t>
      </w:r>
    </w:p>
    <w:p>
      <w:pPr>
        <w:spacing w:before="0" w:after="0" w:line="276" w:lineRule="auto"/>
        <w:ind w:left="283"/>
      </w:pPr>
      <w:r>
        <w:rPr>
          <w:sz w:val="20"/>
        </w:rPr>
        <w:t xml:space="preserve">• </w:t>
      </w:r>
      <w:r>
        <w:rPr>
          <w:sz w:val="20"/>
        </w:rPr>
        <w:t>Regression analyses show sense of purpose predicts successful skill development</w:t>
      </w:r>
    </w:p>
    <w:p>
      <w:pPr>
        <w:spacing w:before="0" w:after="0" w:line="276" w:lineRule="auto"/>
        <w:ind w:left="283"/>
      </w:pPr>
      <w:r>
        <w:rPr>
          <w:sz w:val="20"/>
        </w:rPr>
        <w:t xml:space="preserve">• </w:t>
      </w:r>
      <w:r>
        <w:rPr>
          <w:sz w:val="20"/>
        </w:rPr>
        <w:t xml:space="preserve">Understanding </w:t>
      </w:r>
      <w:r>
        <w:rPr>
          <w:i/>
          <w:sz w:val="20"/>
        </w:rPr>
        <w:t>why</w:t>
      </w:r>
      <w:r>
        <w:rPr>
          <w:sz w:val="20"/>
        </w:rPr>
        <w:t xml:space="preserve"> you're learning accelerates acquisition</w:t>
      </w:r>
    </w:p>
    <w:p>
      <w:pPr>
        <w:spacing w:before="0" w:after="0" w:line="276" w:lineRule="auto"/>
        <w:ind w:left="283"/>
      </w:pPr>
      <w:r>
        <w:rPr>
          <w:sz w:val="20"/>
        </w:rPr>
        <w:t xml:space="preserve">• </w:t>
      </w:r>
      <w:r>
        <w:rPr>
          <w:sz w:val="20"/>
        </w:rPr>
        <w:t>Application: Connect communication development to career aspirations</w:t>
      </w:r>
    </w:p>
    <w:p>
      <w:pPr>
        <w:spacing w:before="0" w:after="120"/>
      </w:pPr>
      <w:r>
        <w:rPr>
          <w:b/>
          <w:sz w:val="20"/>
        </w:rPr>
        <w:t>Strategy 2: Create Learning-Rich Experiences</w:t>
      </w:r>
    </w:p>
    <w:p>
      <w:pPr>
        <w:spacing w:before="0" w:after="0" w:line="276" w:lineRule="auto"/>
        <w:ind w:left="283"/>
      </w:pPr>
      <w:r>
        <w:rPr>
          <w:sz w:val="20"/>
        </w:rPr>
        <w:t xml:space="preserve">• </w:t>
      </w:r>
      <w:r>
        <w:rPr>
          <w:sz w:val="20"/>
        </w:rPr>
        <w:t>Varied and challenging tasks push beyond comfort zones</w:t>
      </w:r>
    </w:p>
    <w:p>
      <w:pPr>
        <w:spacing w:before="0" w:after="0" w:line="276" w:lineRule="auto"/>
        <w:ind w:left="283"/>
      </w:pPr>
      <w:r>
        <w:rPr>
          <w:sz w:val="20"/>
        </w:rPr>
        <w:t xml:space="preserve">• </w:t>
      </w:r>
      <w:r>
        <w:rPr>
          <w:sz w:val="20"/>
        </w:rPr>
        <w:t>Diverse responsibilities develop broader skill sets</w:t>
      </w:r>
    </w:p>
    <w:p>
      <w:pPr>
        <w:spacing w:before="0" w:after="0" w:line="276" w:lineRule="auto"/>
        <w:ind w:left="283"/>
      </w:pPr>
      <w:r>
        <w:rPr>
          <w:sz w:val="20"/>
        </w:rPr>
        <w:t xml:space="preserve">• </w:t>
      </w:r>
      <w:r>
        <w:rPr>
          <w:sz w:val="20"/>
        </w:rPr>
        <w:t>Application: Seek communication challenges that stretch capabilities</w:t>
      </w:r>
    </w:p>
    <w:p>
      <w:pPr>
        <w:spacing w:before="0" w:after="120"/>
      </w:pPr>
      <w:r>
        <w:rPr>
          <w:b/>
          <w:sz w:val="20"/>
        </w:rPr>
        <w:t>Strategy 3: Ask Meta-Learning Questions</w:t>
      </w:r>
    </w:p>
    <w:p>
      <w:pPr>
        <w:spacing w:before="0" w:after="0" w:line="276" w:lineRule="auto"/>
        <w:ind w:left="283"/>
      </w:pPr>
      <w:r>
        <w:rPr>
          <w:sz w:val="20"/>
        </w:rPr>
        <w:t xml:space="preserve">• </w:t>
      </w:r>
      <w:r>
        <w:rPr>
          <w:sz w:val="20"/>
        </w:rPr>
        <w:t>Three key questions for ongoing self-assessment:</w:t>
      </w:r>
    </w:p>
    <w:p>
      <w:pPr>
        <w:spacing w:before="0" w:after="0" w:line="276" w:lineRule="auto"/>
        <w:ind w:left="567"/>
      </w:pPr>
      <w:r>
        <w:rPr>
          <w:sz w:val="20"/>
        </w:rPr>
        <w:t xml:space="preserve">• </w:t>
      </w:r>
      <w:r>
        <w:rPr>
          <w:sz w:val="20"/>
        </w:rPr>
        <w:t>What do I need to learn?</w:t>
      </w:r>
    </w:p>
    <w:p>
      <w:pPr>
        <w:spacing w:before="0" w:after="0" w:line="276" w:lineRule="auto"/>
        <w:ind w:left="567"/>
      </w:pPr>
      <w:r>
        <w:rPr>
          <w:sz w:val="20"/>
        </w:rPr>
        <w:t xml:space="preserve">• </w:t>
      </w:r>
      <w:r>
        <w:rPr>
          <w:sz w:val="20"/>
        </w:rPr>
        <w:t>How should I learn it?</w:t>
      </w:r>
    </w:p>
    <w:p>
      <w:pPr>
        <w:spacing w:before="0" w:after="0" w:line="276" w:lineRule="auto"/>
        <w:ind w:left="567"/>
      </w:pPr>
      <w:r>
        <w:rPr>
          <w:sz w:val="20"/>
        </w:rPr>
        <w:t xml:space="preserve">• </w:t>
      </w:r>
      <w:r>
        <w:rPr>
          <w:sz w:val="20"/>
        </w:rPr>
        <w:t>Where are my strengths and gaps?</w:t>
      </w:r>
    </w:p>
    <w:p>
      <w:pPr>
        <w:spacing w:before="0" w:after="0" w:line="276" w:lineRule="auto"/>
        <w:ind w:left="283"/>
      </w:pPr>
      <w:r>
        <w:rPr>
          <w:sz w:val="20"/>
        </w:rPr>
        <w:t xml:space="preserve">• </w:t>
      </w:r>
      <w:r>
        <w:rPr>
          <w:sz w:val="20"/>
        </w:rPr>
        <w:t>Application: Structure personal development plans around these questions</w:t>
      </w:r>
    </w:p>
    <w:p>
      <w:pPr>
        <w:spacing w:before="0" w:after="120"/>
      </w:pPr>
      <w:r>
        <w:rPr>
          <w:b/>
          <w:sz w:val="20"/>
        </w:rPr>
        <w:t>Strategy 4: Nurture a Learning Team</w:t>
      </w:r>
    </w:p>
    <w:p>
      <w:pPr>
        <w:spacing w:before="0" w:after="0" w:line="276" w:lineRule="auto"/>
        <w:ind w:left="283"/>
      </w:pPr>
      <w:r>
        <w:rPr>
          <w:sz w:val="20"/>
        </w:rPr>
        <w:t xml:space="preserve">• </w:t>
      </w:r>
      <w:r>
        <w:rPr>
          <w:sz w:val="20"/>
        </w:rPr>
        <w:t>Knowledge-sharing and constructive feedback accelerate growth</w:t>
      </w:r>
    </w:p>
    <w:p>
      <w:pPr>
        <w:spacing w:before="0" w:after="0" w:line="276" w:lineRule="auto"/>
        <w:ind w:left="283"/>
      </w:pPr>
      <w:r>
        <w:rPr>
          <w:sz w:val="20"/>
        </w:rPr>
        <w:t xml:space="preserve">• </w:t>
      </w:r>
      <w:r>
        <w:rPr>
          <w:sz w:val="20"/>
        </w:rPr>
        <w:t>Embed learning discussions into daily operations</w:t>
      </w:r>
    </w:p>
    <w:p>
      <w:pPr>
        <w:spacing w:before="0" w:after="0" w:line="276" w:lineRule="auto"/>
        <w:ind w:left="283"/>
      </w:pPr>
      <w:r>
        <w:rPr>
          <w:sz w:val="20"/>
        </w:rPr>
        <w:t xml:space="preserve">• </w:t>
      </w:r>
      <w:r>
        <w:rPr>
          <w:sz w:val="20"/>
        </w:rPr>
        <w:t>Application: Seek feedback partners for ongoing communication development</w:t>
      </w:r>
    </w:p>
    <w:p>
      <w:pPr>
        <w:spacing w:before="0" w:after="120"/>
      </w:pPr>
      <w:r>
        <w:rPr>
          <w:b/>
          <w:sz w:val="20"/>
        </w:rPr>
        <w:t>Case Study: Cynthia's Career Transformation</w:t>
      </w:r>
    </w:p>
    <w:p>
      <w:pPr>
        <w:spacing w:before="0" w:after="0" w:line="276" w:lineRule="auto"/>
        <w:ind w:left="283"/>
      </w:pPr>
      <w:r>
        <w:rPr>
          <w:sz w:val="20"/>
        </w:rPr>
        <w:t xml:space="preserve">• </w:t>
      </w:r>
      <w:r>
        <w:rPr>
          <w:b/>
          <w:sz w:val="20"/>
        </w:rPr>
        <w:t>Context:</w:t>
      </w:r>
      <w:r>
        <w:rPr>
          <w:sz w:val="20"/>
        </w:rPr>
        <w:t xml:space="preserve"> Professional taking on demanding new role without prior experience</w:t>
      </w:r>
    </w:p>
    <w:p>
      <w:pPr>
        <w:spacing w:before="0" w:after="0" w:line="276" w:lineRule="auto"/>
        <w:ind w:left="283"/>
      </w:pPr>
      <w:r>
        <w:rPr>
          <w:sz w:val="20"/>
        </w:rPr>
        <w:t xml:space="preserve">• </w:t>
      </w:r>
      <w:r>
        <w:rPr>
          <w:b/>
          <w:sz w:val="20"/>
        </w:rPr>
        <w:t>Challenge:</w:t>
      </w:r>
      <w:r>
        <w:rPr>
          <w:sz w:val="20"/>
        </w:rPr>
        <w:t xml:space="preserve"> Significant skill gaps in new domain</w:t>
      </w:r>
    </w:p>
    <w:p>
      <w:pPr>
        <w:spacing w:before="0" w:after="0" w:line="276" w:lineRule="auto"/>
        <w:ind w:left="283"/>
      </w:pPr>
      <w:r>
        <w:rPr>
          <w:sz w:val="20"/>
        </w:rPr>
        <w:t xml:space="preserve">• </w:t>
      </w:r>
      <w:r>
        <w:rPr>
          <w:b/>
          <w:sz w:val="20"/>
        </w:rPr>
        <w:t>Action:</w:t>
      </w:r>
      <w:r>
        <w:rPr>
          <w:sz w:val="20"/>
        </w:rPr>
        <w:t xml:space="preserve"> Sought resources, embraced challenges, maintained learning orientation</w:t>
      </w:r>
    </w:p>
    <w:p>
      <w:pPr>
        <w:spacing w:before="0" w:after="0" w:line="276" w:lineRule="auto"/>
        <w:ind w:left="283"/>
      </w:pPr>
      <w:r>
        <w:rPr>
          <w:sz w:val="20"/>
        </w:rPr>
        <w:t xml:space="preserve">• </w:t>
      </w:r>
      <w:r>
        <w:rPr>
          <w:b/>
          <w:sz w:val="20"/>
        </w:rPr>
        <w:t>Result:</w:t>
      </w:r>
      <w:r>
        <w:rPr>
          <w:sz w:val="20"/>
        </w:rPr>
        <w:t xml:space="preserve"> Progressed to company president</w:t>
      </w:r>
    </w:p>
    <w:p>
      <w:pPr>
        <w:spacing w:before="0" w:after="0" w:line="276" w:lineRule="auto"/>
        <w:ind w:left="283"/>
      </w:pPr>
      <w:r>
        <w:rPr>
          <w:sz w:val="20"/>
        </w:rPr>
        <w:t xml:space="preserve">• </w:t>
      </w:r>
      <w:r>
        <w:rPr>
          <w:b/>
          <w:sz w:val="20"/>
        </w:rPr>
        <w:t>Lesson:</w:t>
      </w:r>
      <w:r>
        <w:rPr>
          <w:sz w:val="20"/>
        </w:rPr>
        <w:t xml:space="preserve"> Learning agility enables career transformation</w:t>
      </w:r>
    </w:p>
    <w:p>
      <w:pPr>
        <w:spacing w:before="0" w:after="120"/>
      </w:pPr>
      <w:r>
        <w:rPr>
          <w:b/>
          <w:sz w:val="20"/>
        </w:rPr>
        <w:t>Key Quotes/Stats:</w:t>
      </w:r>
    </w:p>
    <w:p>
      <w:pPr>
        <w:spacing w:before="0" w:after="0" w:line="276" w:lineRule="auto"/>
        <w:ind w:left="283"/>
      </w:pPr>
      <w:r>
        <w:rPr>
          <w:sz w:val="20"/>
        </w:rPr>
        <w:t xml:space="preserve">• </w:t>
      </w:r>
      <w:r>
        <w:rPr>
          <w:sz w:val="20"/>
        </w:rPr>
        <w:t>"44% of core skills will change by 2027" (World Economic Forum)</w:t>
      </w:r>
    </w:p>
    <w:p>
      <w:pPr>
        <w:spacing w:before="0" w:after="0" w:line="276" w:lineRule="auto"/>
        <w:ind w:left="283"/>
      </w:pPr>
      <w:r>
        <w:rPr>
          <w:sz w:val="20"/>
        </w:rPr>
        <w:t xml:space="preserve">• </w:t>
      </w:r>
      <w:r>
        <w:rPr>
          <w:sz w:val="20"/>
        </w:rPr>
        <w:t>"79% of CEOs globally are concerned that skills shortages will hinder company growth" (PwC)</w:t>
      </w:r>
    </w:p>
    <w:p>
      <w:pPr>
        <w:spacing w:before="0" w:after="0" w:line="276" w:lineRule="auto"/>
        <w:ind w:left="283"/>
      </w:pPr>
      <w:r>
        <w:rPr>
          <w:sz w:val="20"/>
        </w:rPr>
        <w:t xml:space="preserve">• </w:t>
      </w:r>
      <w:r>
        <w:rPr>
          <w:sz w:val="20"/>
        </w:rPr>
        <w:t>Purpose-driven learning predicts successful skill development (regression analysis)</w:t>
      </w:r>
    </w:p>
    <w:p>
      <w:pPr>
        <w:pStyle w:val="Heading2"/>
        <w:keepNext/>
        <w:spacing w:before="240" w:after="120"/>
      </w:pPr>
      <w:r>
        <w:rPr>
          <w:sz w:val="20"/>
        </w:rPr>
        <w:t>Article 4: The Versatile Leader: How Learning to Adapt Makes CEOs Better (RECENT)</w:t>
      </w:r>
    </w:p>
    <w:p>
      <w:pPr>
        <w:spacing w:before="0" w:after="120"/>
      </w:pPr>
      <w:r>
        <w:rPr>
          <w:sz w:val="20"/>
        </w:rPr>
        <w:t xml:space="preserve">Maor, D., Kaas, H.-W., Strovink, K., &amp; Srinivasan, R. (2024, August 19). The versatile leader: How learning to adapt makes CEOs better. </w:t>
      </w:r>
      <w:r>
        <w:rPr>
          <w:i/>
          <w:sz w:val="20"/>
        </w:rPr>
        <w:t>McKinsey Quarterly</w:t>
      </w:r>
      <w:r>
        <w:rPr>
          <w:sz w:val="20"/>
        </w:rPr>
        <w:t>. https://www.mckinsey.com/capabilities/people-and-organizational-performance/our-insights/the-versatile-leader-how-learning-to-adapt-makes-ceos-better</w:t>
      </w:r>
    </w:p>
    <w:p>
      <w:pPr>
        <w:spacing w:before="0" w:after="120"/>
      </w:pPr>
      <w:r>
        <w:rPr>
          <w:b/>
          <w:sz w:val="20"/>
        </w:rPr>
        <w:t>URL:</w:t>
      </w:r>
      <w:r>
        <w:rPr>
          <w:sz w:val="20"/>
        </w:rPr>
        <w:t xml:space="preserve"> https://www.mckinsey.com/capabilities/people-and-organizational-performance/our-insights/the-versatile-leader-how-learning-to-adapt-makes-ceos-better</w:t>
      </w:r>
    </w:p>
    <w:p>
      <w:pPr>
        <w:spacing w:before="0" w:after="120"/>
      </w:pPr>
      <w:r>
        <w:rPr>
          <w:b/>
          <w:sz w:val="20"/>
        </w:rPr>
        <w:t>Type:</w:t>
      </w:r>
      <w:r>
        <w:rPr>
          <w:sz w:val="20"/>
        </w:rPr>
        <w:t xml:space="preserve"> McKinsey Quarterly</w:t>
      </w:r>
    </w:p>
    <w:p>
      <w:pPr>
        <w:spacing w:before="0" w:after="120"/>
      </w:pPr>
      <w:r>
        <w:rPr>
          <w:b/>
          <w:sz w:val="20"/>
        </w:rPr>
        <w:t>Access:</w:t>
      </w:r>
      <w:r>
        <w:rPr>
          <w:sz w:val="20"/>
        </w:rPr>
        <w:t xml:space="preserve"> Open access (full article available)</w:t>
      </w:r>
    </w:p>
    <w:p>
      <w:pPr>
        <w:spacing w:before="0" w:after="120"/>
      </w:pPr>
      <w:r>
        <w:rPr>
          <w:b/>
          <w:sz w:val="20"/>
        </w:rPr>
        <w:t>Publication Date:</w:t>
      </w:r>
      <w:r>
        <w:rPr>
          <w:sz w:val="20"/>
        </w:rPr>
        <w:t xml:space="preserve"> August 2024</w:t>
      </w:r>
    </w:p>
    <w:p>
      <w:pPr>
        <w:spacing w:before="0" w:after="120"/>
      </w:pPr>
      <w:r>
        <w:rPr>
          <w:b/>
          <w:sz w:val="20"/>
        </w:rPr>
        <w:t>Primary Focus:</w:t>
      </w:r>
      <w:r>
        <w:rPr>
          <w:sz w:val="20"/>
        </w:rPr>
        <w:t xml:space="preserve"> Capstone presentation, self-assessment, development planning</w:t>
      </w:r>
    </w:p>
    <w:p>
      <w:pPr>
        <w:spacing w:before="0" w:after="120"/>
      </w:pPr>
      <w:r>
        <w:rPr>
          <w:b/>
          <w:sz w:val="20"/>
        </w:rPr>
        <w:t>Content Match:</w:t>
      </w:r>
    </w:p>
    <w:p>
      <w:pPr>
        <w:spacing w:before="0" w:after="120"/>
      </w:pPr>
      <w:r>
        <w:rPr>
          <w:sz w:val="20"/>
        </w:rPr>
        <w:t xml:space="preserve">✓ </w:t>
      </w:r>
      <w:r>
        <w:rPr>
          <w:b/>
          <w:sz w:val="20"/>
        </w:rPr>
        <w:t>Capstone presentation:</w:t>
      </w:r>
      <w:r>
        <w:rPr>
          <w:sz w:val="20"/>
        </w:rPr>
        <w:t xml:space="preserve"> CEO case studies model presentation excellence</w:t>
      </w:r>
    </w:p>
    <w:p>
      <w:pPr>
        <w:spacing w:before="0" w:after="120"/>
      </w:pPr>
      <w:r>
        <w:rPr>
          <w:sz w:val="20"/>
        </w:rPr>
        <w:t xml:space="preserve">✓ </w:t>
      </w:r>
      <w:r>
        <w:rPr>
          <w:b/>
          <w:sz w:val="20"/>
        </w:rPr>
        <w:t>Self-assessment:</w:t>
      </w:r>
      <w:r>
        <w:rPr>
          <w:sz w:val="20"/>
        </w:rPr>
        <w:t xml:space="preserve"> Three-dimensional versatility framework for evaluation</w:t>
      </w:r>
    </w:p>
    <w:p>
      <w:pPr>
        <w:spacing w:before="0" w:after="120"/>
      </w:pPr>
      <w:r>
        <w:rPr>
          <w:sz w:val="20"/>
        </w:rPr>
        <w:t xml:space="preserve">✓ </w:t>
      </w:r>
      <w:r>
        <w:rPr>
          <w:b/>
          <w:sz w:val="20"/>
        </w:rPr>
        <w:t>Development planning:</w:t>
      </w:r>
      <w:r>
        <w:rPr>
          <w:sz w:val="20"/>
        </w:rPr>
        <w:t xml:space="preserve"> Specific self-assessment questions for professional growth</w:t>
      </w:r>
    </w:p>
    <w:p>
      <w:pPr>
        <w:spacing w:before="0" w:after="120"/>
      </w:pPr>
      <w:r>
        <w:rPr>
          <w:sz w:val="20"/>
        </w:rPr>
        <w:t xml:space="preserve">✗ </w:t>
      </w:r>
      <w:r>
        <w:rPr>
          <w:b/>
          <w:sz w:val="20"/>
        </w:rPr>
        <w:t>Course synthesis:</w:t>
      </w:r>
      <w:r>
        <w:rPr>
          <w:sz w:val="20"/>
        </w:rPr>
        <w:t xml:space="preserve"> Not directly addressed</w:t>
      </w:r>
    </w:p>
    <w:p>
      <w:pPr>
        <w:spacing w:before="0" w:after="120"/>
      </w:pPr>
      <w:r>
        <w:rPr>
          <w:b/>
          <w:sz w:val="20"/>
        </w:rPr>
        <w:t>Why Selected:</w:t>
      </w:r>
      <w:r>
        <w:rPr>
          <w:sz w:val="20"/>
        </w:rPr>
        <w:t xml:space="preserve"> This McKinsey article offers a sophisticated framework for professional self-assessment through the lens of leadership versatility. Drawing on interviews with global executives including former Ford CEO Mark Fields and Delta CEO Ed Bastian, it provides concrete models for capstone presentations and detailed questions for personal development planning. The open access format makes it immediately usable.</w:t>
      </w:r>
    </w:p>
    <w:p>
      <w:pPr>
        <w:spacing w:before="0" w:after="120"/>
      </w:pPr>
      <w:r>
        <w:rPr>
          <w:b/>
          <w:sz w:val="20"/>
        </w:rPr>
        <w:t>Key Teaching Content:</w:t>
      </w:r>
    </w:p>
    <w:p>
      <w:pPr>
        <w:spacing w:before="0" w:after="120"/>
      </w:pPr>
      <w:r>
        <w:rPr>
          <w:b/>
          <w:sz w:val="20"/>
        </w:rPr>
        <w:t>Main Insight: Three Dimensions of Leadership Versatility</w:t>
      </w:r>
    </w:p>
    <w:p>
      <w:pPr>
        <w:spacing w:before="0" w:after="0" w:line="276" w:lineRule="auto"/>
        <w:ind w:left="283"/>
      </w:pPr>
      <w:r>
        <w:rPr>
          <w:sz w:val="20"/>
        </w:rPr>
        <w:t xml:space="preserve">• </w:t>
      </w:r>
      <w:r>
        <w:rPr>
          <w:b/>
          <w:sz w:val="20"/>
        </w:rPr>
        <w:t>Problem/context:</w:t>
      </w:r>
      <w:r>
        <w:rPr>
          <w:sz w:val="20"/>
        </w:rPr>
        <w:t xml:space="preserve"> Leaders must operate effectively across diverse situations and communicate with varied stakeholders</w:t>
      </w:r>
    </w:p>
    <w:p>
      <w:pPr>
        <w:spacing w:before="0" w:after="0" w:line="276" w:lineRule="auto"/>
        <w:ind w:left="283"/>
      </w:pPr>
      <w:r>
        <w:rPr>
          <w:sz w:val="20"/>
        </w:rPr>
        <w:t xml:space="preserve">• </w:t>
      </w:r>
      <w:r>
        <w:rPr>
          <w:b/>
          <w:sz w:val="20"/>
        </w:rPr>
        <w:t>Approach:</w:t>
      </w:r>
      <w:r>
        <w:rPr>
          <w:sz w:val="20"/>
        </w:rPr>
        <w:t xml:space="preserve"> Three-dimensional framework for developing professional versatility</w:t>
      </w:r>
    </w:p>
    <w:p>
      <w:pPr>
        <w:spacing w:before="0" w:after="0" w:line="276" w:lineRule="auto"/>
        <w:ind w:left="283"/>
      </w:pPr>
      <w:r>
        <w:rPr>
          <w:sz w:val="20"/>
        </w:rPr>
        <w:t xml:space="preserve">• </w:t>
      </w:r>
      <w:r>
        <w:rPr>
          <w:b/>
          <w:sz w:val="20"/>
        </w:rPr>
        <w:t>Why it matters:</w:t>
      </w:r>
      <w:r>
        <w:rPr>
          <w:sz w:val="20"/>
        </w:rPr>
        <w:t xml:space="preserve"> Communication effectiveness requires breadth, depth, and stakeholder awareness</w:t>
      </w:r>
    </w:p>
    <w:p>
      <w:pPr>
        <w:spacing w:before="0" w:after="120"/>
      </w:pPr>
      <w:r>
        <w:rPr>
          <w:b/>
          <w:sz w:val="20"/>
        </w:rPr>
        <w:t>Practical Applications:</w:t>
      </w:r>
    </w:p>
    <w:p>
      <w:pPr>
        <w:spacing w:before="0" w:after="120"/>
      </w:pPr>
      <w:r>
        <w:rPr>
          <w:b/>
          <w:sz w:val="20"/>
        </w:rPr>
        <w:t>Dimension 1: Pursue Diverse Experiences</w:t>
      </w:r>
    </w:p>
    <w:p>
      <w:pPr>
        <w:spacing w:before="0" w:after="0" w:line="276" w:lineRule="auto"/>
        <w:ind w:left="283"/>
      </w:pPr>
      <w:r>
        <w:rPr>
          <w:sz w:val="20"/>
        </w:rPr>
        <w:t xml:space="preserve">• </w:t>
      </w:r>
      <w:r>
        <w:rPr>
          <w:sz w:val="20"/>
        </w:rPr>
        <w:t>Deliberately seek positions with challenges beyond comfort zone</w:t>
      </w:r>
    </w:p>
    <w:p>
      <w:pPr>
        <w:spacing w:before="0" w:after="0" w:line="276" w:lineRule="auto"/>
        <w:ind w:left="283"/>
      </w:pPr>
      <w:r>
        <w:rPr>
          <w:sz w:val="20"/>
        </w:rPr>
        <w:t xml:space="preserve">• </w:t>
      </w:r>
      <w:r>
        <w:rPr>
          <w:sz w:val="20"/>
        </w:rPr>
        <w:t>Avoid becoming "pigeonholed as a one-note manager"</w:t>
      </w:r>
    </w:p>
    <w:p>
      <w:pPr>
        <w:spacing w:before="0" w:after="0" w:line="276" w:lineRule="auto"/>
        <w:ind w:left="283"/>
      </w:pPr>
      <w:r>
        <w:rPr>
          <w:sz w:val="20"/>
        </w:rPr>
        <w:t xml:space="preserve">• </w:t>
      </w:r>
      <w:r>
        <w:rPr>
          <w:sz w:val="20"/>
        </w:rPr>
        <w:t>Develop multiple operating modes—restructuring, growth, cost-cutting</w:t>
      </w:r>
    </w:p>
    <w:p>
      <w:pPr>
        <w:spacing w:before="0" w:after="0" w:line="276" w:lineRule="auto"/>
        <w:ind w:left="283"/>
      </w:pPr>
      <w:r>
        <w:rPr>
          <w:sz w:val="20"/>
        </w:rPr>
        <w:t xml:space="preserve">• </w:t>
      </w:r>
      <w:r>
        <w:rPr>
          <w:sz w:val="20"/>
        </w:rPr>
        <w:t>Application: Seek varied communication challenges across different contexts</w:t>
      </w:r>
    </w:p>
    <w:p>
      <w:pPr>
        <w:spacing w:before="0" w:after="120"/>
      </w:pPr>
      <w:r>
        <w:rPr>
          <w:b/>
          <w:sz w:val="20"/>
        </w:rPr>
        <w:t>Dimension 2: Go Deep (Constant Curiosity)</w:t>
      </w:r>
    </w:p>
    <w:p>
      <w:pPr>
        <w:spacing w:before="0" w:after="0" w:line="276" w:lineRule="auto"/>
        <w:ind w:left="283"/>
      </w:pPr>
      <w:r>
        <w:rPr>
          <w:sz w:val="20"/>
        </w:rPr>
        <w:t xml:space="preserve">• </w:t>
      </w:r>
      <w:r>
        <w:rPr>
          <w:sz w:val="20"/>
        </w:rPr>
        <w:t>Master intricacies beyond surface-level understanding</w:t>
      </w:r>
    </w:p>
    <w:p>
      <w:pPr>
        <w:spacing w:before="0" w:after="0" w:line="276" w:lineRule="auto"/>
        <w:ind w:left="283"/>
      </w:pPr>
      <w:r>
        <w:rPr>
          <w:sz w:val="20"/>
        </w:rPr>
        <w:t xml:space="preserve">• </w:t>
      </w:r>
      <w:r>
        <w:rPr>
          <w:sz w:val="20"/>
        </w:rPr>
        <w:t>Balance knowledge acquisition with confidence to execute</w:t>
      </w:r>
    </w:p>
    <w:p>
      <w:pPr>
        <w:spacing w:before="0" w:after="0" w:line="276" w:lineRule="auto"/>
        <w:ind w:left="283"/>
      </w:pPr>
      <w:r>
        <w:rPr>
          <w:sz w:val="20"/>
        </w:rPr>
        <w:t xml:space="preserve">• </w:t>
      </w:r>
      <w:r>
        <w:rPr>
          <w:sz w:val="20"/>
        </w:rPr>
        <w:t>Employ "deep-thinking mode"—rigorous analysis followed by decisive action</w:t>
      </w:r>
    </w:p>
    <w:p>
      <w:pPr>
        <w:spacing w:before="0" w:after="0" w:line="276" w:lineRule="auto"/>
        <w:ind w:left="283"/>
      </w:pPr>
      <w:r>
        <w:rPr>
          <w:sz w:val="20"/>
        </w:rPr>
        <w:t xml:space="preserve">• </w:t>
      </w:r>
      <w:r>
        <w:rPr>
          <w:sz w:val="20"/>
        </w:rPr>
        <w:t>Application: Develop deep expertise in core communication competencies</w:t>
      </w:r>
    </w:p>
    <w:p>
      <w:pPr>
        <w:spacing w:before="0" w:after="120"/>
      </w:pPr>
      <w:r>
        <w:rPr>
          <w:b/>
          <w:sz w:val="20"/>
        </w:rPr>
        <w:t>Dimension 3: Know When to Speak Up</w:t>
      </w:r>
    </w:p>
    <w:p>
      <w:pPr>
        <w:spacing w:before="0" w:after="0" w:line="276" w:lineRule="auto"/>
        <w:ind w:left="283"/>
      </w:pPr>
      <w:r>
        <w:rPr>
          <w:sz w:val="20"/>
        </w:rPr>
        <w:t xml:space="preserve">• </w:t>
      </w:r>
      <w:r>
        <w:rPr>
          <w:sz w:val="20"/>
        </w:rPr>
        <w:t>Navigate complex issues authentically</w:t>
      </w:r>
    </w:p>
    <w:p>
      <w:pPr>
        <w:spacing w:before="0" w:after="0" w:line="276" w:lineRule="auto"/>
        <w:ind w:left="283"/>
      </w:pPr>
      <w:r>
        <w:rPr>
          <w:sz w:val="20"/>
        </w:rPr>
        <w:t xml:space="preserve">• </w:t>
      </w:r>
      <w:r>
        <w:rPr>
          <w:sz w:val="20"/>
        </w:rPr>
        <w:t>Take public stance only when relevant to role and authentic</w:t>
      </w:r>
    </w:p>
    <w:p>
      <w:pPr>
        <w:spacing w:before="0" w:after="0" w:line="276" w:lineRule="auto"/>
        <w:ind w:left="283"/>
      </w:pPr>
      <w:r>
        <w:rPr>
          <w:sz w:val="20"/>
        </w:rPr>
        <w:t xml:space="preserve">• </w:t>
      </w:r>
      <w:r>
        <w:rPr>
          <w:sz w:val="20"/>
        </w:rPr>
        <w:t>Avoid "empty suit" syndrome—statements without real action</w:t>
      </w:r>
    </w:p>
    <w:p>
      <w:pPr>
        <w:spacing w:before="0" w:after="0" w:line="276" w:lineRule="auto"/>
        <w:ind w:left="283"/>
      </w:pPr>
      <w:r>
        <w:rPr>
          <w:sz w:val="20"/>
        </w:rPr>
        <w:t xml:space="preserve">• </w:t>
      </w:r>
      <w:r>
        <w:rPr>
          <w:sz w:val="20"/>
        </w:rPr>
        <w:t>Application: Communicate on topics where you have genuine expertise and stake</w:t>
      </w:r>
    </w:p>
    <w:p>
      <w:pPr>
        <w:spacing w:before="0" w:after="120"/>
      </w:pPr>
      <w:r>
        <w:rPr>
          <w:b/>
          <w:sz w:val="20"/>
        </w:rPr>
        <w:t>Self-Assessment Framework (from article):</w:t>
      </w:r>
    </w:p>
    <w:p>
      <w:pPr>
        <w:spacing w:before="0" w:after="0" w:line="276" w:lineRule="auto"/>
        <w:ind w:left="283"/>
      </w:pPr>
      <w:r>
        <w:rPr>
          <w:sz w:val="20"/>
        </w:rPr>
        <w:t xml:space="preserve">• </w:t>
      </w:r>
      <w:r>
        <w:rPr>
          <w:sz w:val="20"/>
        </w:rPr>
        <w:t>What skills and experiences need developing?</w:t>
      </w:r>
    </w:p>
    <w:p>
      <w:pPr>
        <w:spacing w:before="0" w:after="0" w:line="276" w:lineRule="auto"/>
        <w:ind w:left="283"/>
      </w:pPr>
      <w:r>
        <w:rPr>
          <w:sz w:val="20"/>
        </w:rPr>
        <w:t xml:space="preserve">• </w:t>
      </w:r>
      <w:r>
        <w:rPr>
          <w:sz w:val="20"/>
        </w:rPr>
        <w:t>What assignments and roles offer opportunities to acquire them?</w:t>
      </w:r>
    </w:p>
    <w:p>
      <w:pPr>
        <w:spacing w:before="0" w:after="0" w:line="276" w:lineRule="auto"/>
        <w:ind w:left="283"/>
      </w:pPr>
      <w:r>
        <w:rPr>
          <w:sz w:val="20"/>
        </w:rPr>
        <w:t xml:space="preserve">• </w:t>
      </w:r>
      <w:r>
        <w:rPr>
          <w:sz w:val="20"/>
        </w:rPr>
        <w:t>What trade-offs must be managed?</w:t>
      </w:r>
    </w:p>
    <w:p>
      <w:pPr>
        <w:spacing w:before="0" w:after="0" w:line="276" w:lineRule="auto"/>
        <w:ind w:left="283"/>
      </w:pPr>
      <w:r>
        <w:rPr>
          <w:sz w:val="20"/>
        </w:rPr>
        <w:t xml:space="preserve">• </w:t>
      </w:r>
      <w:r>
        <w:rPr>
          <w:sz w:val="20"/>
        </w:rPr>
        <w:t>What approaches to learning work best?</w:t>
      </w:r>
    </w:p>
    <w:p>
      <w:pPr>
        <w:spacing w:before="0" w:after="0" w:line="276" w:lineRule="auto"/>
        <w:ind w:left="283"/>
      </w:pPr>
      <w:r>
        <w:rPr>
          <w:sz w:val="20"/>
        </w:rPr>
        <w:t xml:space="preserve">• </w:t>
      </w:r>
      <w:r>
        <w:rPr>
          <w:sz w:val="20"/>
        </w:rPr>
        <w:t>Which team members and experts can help fill understanding gaps?</w:t>
      </w:r>
    </w:p>
    <w:p>
      <w:pPr>
        <w:spacing w:before="0" w:after="0" w:line="276" w:lineRule="auto"/>
        <w:ind w:left="283"/>
      </w:pPr>
      <w:r>
        <w:rPr>
          <w:sz w:val="20"/>
        </w:rPr>
        <w:t xml:space="preserve">• </w:t>
      </w:r>
      <w:r>
        <w:rPr>
          <w:sz w:val="20"/>
        </w:rPr>
        <w:t>How much time to spend on on-the-job learning vs. in-depth study?</w:t>
      </w:r>
    </w:p>
    <w:p>
      <w:pPr>
        <w:spacing w:before="0" w:after="120"/>
      </w:pPr>
      <w:r>
        <w:rPr>
          <w:b/>
          <w:sz w:val="20"/>
        </w:rPr>
        <w:t>Case Study: Mark Fields at Ford</w:t>
      </w:r>
    </w:p>
    <w:p>
      <w:pPr>
        <w:spacing w:before="0" w:after="0" w:line="276" w:lineRule="auto"/>
        <w:ind w:left="283"/>
      </w:pPr>
      <w:r>
        <w:rPr>
          <w:sz w:val="20"/>
        </w:rPr>
        <w:t xml:space="preserve">• </w:t>
      </w:r>
      <w:r>
        <w:rPr>
          <w:b/>
          <w:sz w:val="20"/>
        </w:rPr>
        <w:t>Context:</w:t>
      </w:r>
      <w:r>
        <w:rPr>
          <w:sz w:val="20"/>
        </w:rPr>
        <w:t xml:space="preserve"> Former Ford CEO navigating multiple leadership transitions</w:t>
      </w:r>
    </w:p>
    <w:p>
      <w:pPr>
        <w:spacing w:before="0" w:after="0" w:line="276" w:lineRule="auto"/>
        <w:ind w:left="283"/>
      </w:pPr>
      <w:r>
        <w:rPr>
          <w:sz w:val="20"/>
        </w:rPr>
        <w:t xml:space="preserve">• </w:t>
      </w:r>
      <w:r>
        <w:rPr>
          <w:b/>
          <w:sz w:val="20"/>
        </w:rPr>
        <w:t>Challenge:</w:t>
      </w:r>
      <w:r>
        <w:rPr>
          <w:sz w:val="20"/>
        </w:rPr>
        <w:t xml:space="preserve"> Developing versatility across different business conditions</w:t>
      </w:r>
    </w:p>
    <w:p>
      <w:pPr>
        <w:spacing w:before="0" w:after="0" w:line="276" w:lineRule="auto"/>
        <w:ind w:left="283"/>
      </w:pPr>
      <w:r>
        <w:rPr>
          <w:sz w:val="20"/>
        </w:rPr>
        <w:t xml:space="preserve">• </w:t>
      </w:r>
      <w:r>
        <w:rPr>
          <w:b/>
          <w:sz w:val="20"/>
        </w:rPr>
        <w:t>Action:</w:t>
      </w:r>
      <w:r>
        <w:rPr>
          <w:sz w:val="20"/>
        </w:rPr>
        <w:t xml:space="preserve"> Deliberately sought varied experiences building "muscle memory"</w:t>
      </w:r>
    </w:p>
    <w:p>
      <w:pPr>
        <w:spacing w:before="0" w:after="0" w:line="276" w:lineRule="auto"/>
        <w:ind w:left="283"/>
      </w:pPr>
      <w:r>
        <w:rPr>
          <w:sz w:val="20"/>
        </w:rPr>
        <w:t xml:space="preserve">• </w:t>
      </w:r>
      <w:r>
        <w:rPr>
          <w:b/>
          <w:sz w:val="20"/>
        </w:rPr>
        <w:t>Result:</w:t>
      </w:r>
      <w:r>
        <w:rPr>
          <w:sz w:val="20"/>
        </w:rPr>
        <w:t xml:space="preserve"> Became "utility infielder" capable of pivoting across situations</w:t>
      </w:r>
    </w:p>
    <w:p>
      <w:pPr>
        <w:spacing w:before="0" w:after="0" w:line="276" w:lineRule="auto"/>
        <w:ind w:left="283"/>
      </w:pPr>
      <w:r>
        <w:rPr>
          <w:sz w:val="20"/>
        </w:rPr>
        <w:t xml:space="preserve">• </w:t>
      </w:r>
      <w:r>
        <w:rPr>
          <w:b/>
          <w:sz w:val="20"/>
        </w:rPr>
        <w:t>Lesson:</w:t>
      </w:r>
      <w:r>
        <w:rPr>
          <w:sz w:val="20"/>
        </w:rPr>
        <w:t xml:space="preserve"> Diverse experiences develop communication adaptability</w:t>
      </w:r>
    </w:p>
    <w:p>
      <w:pPr>
        <w:spacing w:before="0" w:after="120"/>
      </w:pPr>
      <w:r>
        <w:rPr>
          <w:b/>
          <w:sz w:val="20"/>
        </w:rPr>
        <w:t>Case Study: John Plant at Howmet Aerospace</w:t>
      </w:r>
    </w:p>
    <w:p>
      <w:pPr>
        <w:spacing w:before="0" w:after="0" w:line="276" w:lineRule="auto"/>
        <w:ind w:left="283"/>
      </w:pPr>
      <w:r>
        <w:rPr>
          <w:sz w:val="20"/>
        </w:rPr>
        <w:t xml:space="preserve">• </w:t>
      </w:r>
      <w:r>
        <w:rPr>
          <w:b/>
          <w:sz w:val="20"/>
        </w:rPr>
        <w:t>Context:</w:t>
      </w:r>
      <w:r>
        <w:rPr>
          <w:sz w:val="20"/>
        </w:rPr>
        <w:t xml:space="preserve"> Leader navigating 2008 financial crisis</w:t>
      </w:r>
    </w:p>
    <w:p>
      <w:pPr>
        <w:spacing w:before="0" w:after="0" w:line="276" w:lineRule="auto"/>
        <w:ind w:left="283"/>
      </w:pPr>
      <w:r>
        <w:rPr>
          <w:sz w:val="20"/>
        </w:rPr>
        <w:t xml:space="preserve">• </w:t>
      </w:r>
      <w:r>
        <w:rPr>
          <w:b/>
          <w:sz w:val="20"/>
        </w:rPr>
        <w:t>Challenge:</w:t>
      </w:r>
      <w:r>
        <w:rPr>
          <w:sz w:val="20"/>
        </w:rPr>
        <w:t xml:space="preserve"> Pivoting from growth mode to restructuring and back</w:t>
      </w:r>
    </w:p>
    <w:p>
      <w:pPr>
        <w:spacing w:before="0" w:after="0" w:line="276" w:lineRule="auto"/>
        <w:ind w:left="283"/>
      </w:pPr>
      <w:r>
        <w:rPr>
          <w:sz w:val="20"/>
        </w:rPr>
        <w:t xml:space="preserve">• </w:t>
      </w:r>
      <w:r>
        <w:rPr>
          <w:b/>
          <w:sz w:val="20"/>
        </w:rPr>
        <w:t>Action:</w:t>
      </w:r>
      <w:r>
        <w:rPr>
          <w:sz w:val="20"/>
        </w:rPr>
        <w:t xml:space="preserve"> Deep understanding of business fundamentals enabled strategic pivots</w:t>
      </w:r>
    </w:p>
    <w:p>
      <w:pPr>
        <w:spacing w:before="0" w:after="0" w:line="276" w:lineRule="auto"/>
        <w:ind w:left="283"/>
      </w:pPr>
      <w:r>
        <w:rPr>
          <w:sz w:val="20"/>
        </w:rPr>
        <w:t xml:space="preserve">• </w:t>
      </w:r>
      <w:r>
        <w:rPr>
          <w:b/>
          <w:sz w:val="20"/>
        </w:rPr>
        <w:t>Result:</w:t>
      </w:r>
      <w:r>
        <w:rPr>
          <w:sz w:val="20"/>
        </w:rPr>
        <w:t xml:space="preserve"> Led $13.5 billion acquisition</w:t>
      </w:r>
    </w:p>
    <w:p>
      <w:pPr>
        <w:spacing w:before="0" w:after="0" w:line="276" w:lineRule="auto"/>
        <w:ind w:left="283"/>
      </w:pPr>
      <w:r>
        <w:rPr>
          <w:sz w:val="20"/>
        </w:rPr>
        <w:t xml:space="preserve">• </w:t>
      </w:r>
      <w:r>
        <w:rPr>
          <w:b/>
          <w:sz w:val="20"/>
        </w:rPr>
        <w:t>Lesson:</w:t>
      </w:r>
      <w:r>
        <w:rPr>
          <w:sz w:val="20"/>
        </w:rPr>
        <w:t xml:space="preserve"> Deep knowledge enables confident communication in crisis</w:t>
      </w:r>
    </w:p>
    <w:p>
      <w:pPr>
        <w:spacing w:before="0" w:after="120"/>
      </w:pPr>
      <w:r>
        <w:rPr>
          <w:b/>
          <w:sz w:val="20"/>
        </w:rPr>
        <w:t>Key Quotes/Stats:</w:t>
      </w:r>
    </w:p>
    <w:p>
      <w:pPr>
        <w:spacing w:before="0" w:after="0" w:line="276" w:lineRule="auto"/>
        <w:ind w:left="283"/>
      </w:pPr>
      <w:r>
        <w:rPr>
          <w:sz w:val="20"/>
        </w:rPr>
        <w:t xml:space="preserve">• </w:t>
      </w:r>
      <w:r>
        <w:rPr>
          <w:sz w:val="20"/>
        </w:rPr>
        <w:t>"If you're putting yourself in positions in your career to get these different experiences, you're going to learn how to be a utility infielder." (Mark Fields, former Ford CEO)</w:t>
      </w:r>
    </w:p>
    <w:p>
      <w:pPr>
        <w:spacing w:before="0" w:after="0" w:line="276" w:lineRule="auto"/>
        <w:ind w:left="283"/>
      </w:pPr>
      <w:r>
        <w:rPr>
          <w:sz w:val="20"/>
        </w:rPr>
        <w:t xml:space="preserve">• </w:t>
      </w:r>
      <w:r>
        <w:rPr>
          <w:sz w:val="20"/>
        </w:rPr>
        <w:t>"The key is not just understanding what a product does but also how and why it does what it does." (John Plant, Howmet Aerospace CEO)</w:t>
      </w:r>
    </w:p>
    <w:p>
      <w:pPr>
        <w:spacing w:before="0" w:after="0" w:line="276" w:lineRule="auto"/>
        <w:ind w:left="283"/>
      </w:pPr>
      <w:r>
        <w:rPr>
          <w:sz w:val="20"/>
        </w:rPr>
        <w:t xml:space="preserve">• </w:t>
      </w:r>
      <w:r>
        <w:rPr>
          <w:sz w:val="20"/>
        </w:rPr>
        <w:t>"The way you deal with this uncertainty is you learn, learn, learn." (Ed Bastian, Delta Air Lines CEO)</w:t>
      </w:r>
    </w:p>
    <w:p>
      <w:pPr>
        <w:pStyle w:val="Heading2"/>
        <w:keepNext/>
        <w:spacing w:before="240" w:after="120"/>
      </w:pPr>
      <w:r>
        <w:rPr>
          <w:sz w:val="20"/>
        </w:rPr>
        <w:t>Coverage Validation</w:t>
      </w:r>
    </w:p>
    <w:p>
      <w:pPr>
        <w:spacing w:before="0" w:after="120"/>
      </w:pPr>
      <w:r>
        <w:rPr>
          <w:sz w:val="20"/>
        </w:rPr>
        <w:t xml:space="preserve">✓ </w:t>
      </w:r>
      <w:r>
        <w:rPr>
          <w:b/>
          <w:sz w:val="20"/>
        </w:rPr>
        <w:t>Capstone presentation:</w:t>
      </w:r>
      <w:r>
        <w:rPr>
          <w:sz w:val="20"/>
        </w:rPr>
        <w:t xml:space="preserve"> Articles 2 (Kolb) and 4 (McKinsey)</w:t>
      </w:r>
    </w:p>
    <w:p>
      <w:pPr>
        <w:spacing w:before="0" w:after="120"/>
      </w:pPr>
      <w:r>
        <w:rPr>
          <w:sz w:val="20"/>
        </w:rPr>
        <w:t xml:space="preserve">✓ </w:t>
      </w:r>
      <w:r>
        <w:rPr>
          <w:b/>
          <w:sz w:val="20"/>
        </w:rPr>
        <w:t>Self-assessment:</w:t>
      </w:r>
      <w:r>
        <w:rPr>
          <w:sz w:val="20"/>
        </w:rPr>
        <w:t xml:space="preserve"> Articles 1 (Schön), 2 (Kolb), 3 (MIT Sloan), 4 (McKinsey)</w:t>
      </w:r>
    </w:p>
    <w:p>
      <w:pPr>
        <w:spacing w:before="0" w:after="120"/>
      </w:pPr>
      <w:r>
        <w:rPr>
          <w:sz w:val="20"/>
        </w:rPr>
        <w:t xml:space="preserve">✓ </w:t>
      </w:r>
      <w:r>
        <w:rPr>
          <w:b/>
          <w:sz w:val="20"/>
        </w:rPr>
        <w:t>Development planning:</w:t>
      </w:r>
      <w:r>
        <w:rPr>
          <w:sz w:val="20"/>
        </w:rPr>
        <w:t xml:space="preserve"> Articles 1 (Schön), 2 (Kolb), 3 (MIT Sloan), 4 (McKinsey)</w:t>
      </w:r>
    </w:p>
    <w:p>
      <w:pPr>
        <w:spacing w:before="0" w:after="120"/>
      </w:pPr>
      <w:r>
        <w:rPr>
          <w:sz w:val="20"/>
        </w:rPr>
        <w:t xml:space="preserve">✓ </w:t>
      </w:r>
      <w:r>
        <w:rPr>
          <w:b/>
          <w:sz w:val="20"/>
        </w:rPr>
        <w:t>Course synthesis:</w:t>
      </w:r>
      <w:r>
        <w:rPr>
          <w:sz w:val="20"/>
        </w:rPr>
        <w:t xml:space="preserve"> Articles 1 (Schön), 2 (Kolb), 3 (MIT Sloan)</w:t>
      </w:r>
    </w:p>
    <w:p>
      <w:pPr>
        <w:spacing w:before="0" w:after="120"/>
      </w:pPr>
      <w:r>
        <w:rPr>
          <w:sz w:val="20"/>
        </w:rPr>
        <w:t xml:space="preserve">✓ </w:t>
      </w:r>
      <w:r>
        <w:rPr>
          <w:b/>
          <w:sz w:val="20"/>
        </w:rPr>
        <w:t>2 seminal + 2 recent balance achieved</w:t>
      </w:r>
    </w:p>
    <w:p>
      <w:pPr>
        <w:spacing w:before="0" w:after="120"/>
      </w:pPr>
      <w:r>
        <w:rPr>
          <w:b/>
          <w:sz w:val="20"/>
        </w:rPr>
        <w:t>Set Complete:</w:t>
      </w:r>
      <w:r>
        <w:rPr>
          <w:sz w:val="20"/>
        </w:rPr>
        <w:t xml:space="preserve"> YES</w:t>
      </w:r>
    </w:p>
    <w:p>
      <w:pPr>
        <w:pStyle w:val="Heading2"/>
        <w:keepNext/>
        <w:spacing w:before="240" w:after="120"/>
      </w:pPr>
      <w:r>
        <w:rPr>
          <w:sz w:val="20"/>
        </w:rPr>
        <w:t>Integration Notes</w:t>
      </w:r>
    </w:p>
    <w:p>
      <w:pPr>
        <w:spacing w:before="0" w:after="120"/>
      </w:pPr>
      <w:r>
        <w:rPr>
          <w:sz w:val="20"/>
        </w:rPr>
        <w:t>These four readings form an integrated foundation for capstone integration:</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3307"/>
        <w:gridCol w:w="3307"/>
        <w:gridCol w:w="3307"/>
      </w:tblGrid>
      <w:tr>
        <w:trPr>
          <w:cantSplit/>
          <w:tblHeader/>
        </w:trPr>
        <w:tc>
          <w:tcPr>
            <w:tcW w:type="auto" w:w="0"/>
            <w:shd w:val="clear" w:color="auto" w:fill="E2E8F0"/>
          </w:tcPr>
          <w:p>
            <w:pPr>
              <w:spacing w:before="0" w:after="0" w:line="276" w:lineRule="auto"/>
            </w:pPr>
            <w:r>
              <w:rPr>
                <w:b/>
                <w:sz w:val="16"/>
              </w:rPr>
              <w:t>Work</w:t>
            </w:r>
          </w:p>
        </w:tc>
        <w:tc>
          <w:tcPr>
            <w:tcW w:type="auto" w:w="0"/>
            <w:shd w:val="clear" w:color="auto" w:fill="E2E8F0"/>
          </w:tcPr>
          <w:p>
            <w:pPr>
              <w:spacing w:before="0" w:after="0" w:line="276" w:lineRule="auto"/>
            </w:pPr>
            <w:r>
              <w:rPr>
                <w:b/>
                <w:sz w:val="16"/>
              </w:rPr>
              <w:t>Primary Contribution</w:t>
            </w:r>
          </w:p>
        </w:tc>
        <w:tc>
          <w:tcPr>
            <w:tcW w:type="auto" w:w="0"/>
            <w:shd w:val="clear" w:color="auto" w:fill="E2E8F0"/>
          </w:tcPr>
          <w:p>
            <w:pPr>
              <w:spacing w:before="0" w:after="0" w:line="276" w:lineRule="auto"/>
            </w:pPr>
            <w:r>
              <w:rPr>
                <w:b/>
                <w:sz w:val="16"/>
              </w:rPr>
              <w:t>Capstone Application</w:t>
            </w:r>
          </w:p>
        </w:tc>
      </w:tr>
      <w:tr>
        <w:trPr>
          <w:cantSplit/>
        </w:trPr>
        <w:tc>
          <w:tcPr>
            <w:tcW w:type="auto" w:w="0"/>
          </w:tcPr>
          <w:p>
            <w:pPr>
              <w:spacing w:before="0" w:after="0" w:line="276" w:lineRule="auto"/>
            </w:pPr>
            <w:r>
              <w:rPr>
                <w:sz w:val="16"/>
              </w:rPr>
              <w:t>Schön (1983)</w:t>
            </w:r>
          </w:p>
        </w:tc>
        <w:tc>
          <w:tcPr>
            <w:tcW w:type="auto" w:w="0"/>
          </w:tcPr>
          <w:p>
            <w:pPr>
              <w:spacing w:before="0" w:after="0" w:line="276" w:lineRule="auto"/>
            </w:pPr>
            <w:r>
              <w:rPr>
                <w:sz w:val="16"/>
              </w:rPr>
              <w:t>Reflective practice theory</w:t>
            </w:r>
          </w:p>
        </w:tc>
        <w:tc>
          <w:tcPr>
            <w:tcW w:type="auto" w:w="0"/>
          </w:tcPr>
          <w:p>
            <w:pPr>
              <w:spacing w:before="0" w:after="0" w:line="276" w:lineRule="auto"/>
            </w:pPr>
            <w:r>
              <w:rPr>
                <w:sz w:val="16"/>
              </w:rPr>
              <w:t>Self-assessment framework; articulating tacit knowledge</w:t>
            </w:r>
          </w:p>
        </w:tc>
      </w:tr>
      <w:tr>
        <w:trPr>
          <w:cantSplit/>
        </w:trPr>
        <w:tc>
          <w:tcPr>
            <w:tcW w:type="auto" w:w="0"/>
          </w:tcPr>
          <w:p>
            <w:pPr>
              <w:spacing w:before="0" w:after="0" w:line="276" w:lineRule="auto"/>
            </w:pPr>
            <w:r>
              <w:rPr>
                <w:sz w:val="16"/>
              </w:rPr>
              <w:t>Kolb (1984)</w:t>
            </w:r>
          </w:p>
        </w:tc>
        <w:tc>
          <w:tcPr>
            <w:tcW w:type="auto" w:w="0"/>
          </w:tcPr>
          <w:p>
            <w:pPr>
              <w:spacing w:before="0" w:after="0" w:line="276" w:lineRule="auto"/>
            </w:pPr>
            <w:r>
              <w:rPr>
                <w:sz w:val="16"/>
              </w:rPr>
              <w:t>Experiential learning cycle</w:t>
            </w:r>
          </w:p>
        </w:tc>
        <w:tc>
          <w:tcPr>
            <w:tcW w:type="auto" w:w="0"/>
          </w:tcPr>
          <w:p>
            <w:pPr>
              <w:spacing w:before="0" w:after="0" w:line="276" w:lineRule="auto"/>
            </w:pPr>
            <w:r>
              <w:rPr>
                <w:sz w:val="16"/>
              </w:rPr>
              <w:t>Integration of coursework; learning style self-assessment</w:t>
            </w:r>
          </w:p>
        </w:tc>
      </w:tr>
      <w:tr>
        <w:trPr>
          <w:cantSplit/>
        </w:trPr>
        <w:tc>
          <w:tcPr>
            <w:tcW w:type="auto" w:w="0"/>
          </w:tcPr>
          <w:p>
            <w:pPr>
              <w:spacing w:before="0" w:after="0" w:line="276" w:lineRule="auto"/>
            </w:pPr>
            <w:r>
              <w:rPr>
                <w:sz w:val="16"/>
              </w:rPr>
              <w:t>Tan &amp; Tan (2024)</w:t>
            </w:r>
          </w:p>
        </w:tc>
        <w:tc>
          <w:tcPr>
            <w:tcW w:type="auto" w:w="0"/>
          </w:tcPr>
          <w:p>
            <w:pPr>
              <w:spacing w:before="0" w:after="0" w:line="276" w:lineRule="auto"/>
            </w:pPr>
            <w:r>
              <w:rPr>
                <w:sz w:val="16"/>
              </w:rPr>
              <w:t>Continuous learning strategies</w:t>
            </w:r>
          </w:p>
        </w:tc>
        <w:tc>
          <w:tcPr>
            <w:tcW w:type="auto" w:w="0"/>
          </w:tcPr>
          <w:p>
            <w:pPr>
              <w:spacing w:before="0" w:after="0" w:line="276" w:lineRule="auto"/>
            </w:pPr>
            <w:r>
              <w:rPr>
                <w:sz w:val="16"/>
              </w:rPr>
              <w:t>Development planning; meta-learning questions</w:t>
            </w:r>
          </w:p>
        </w:tc>
      </w:tr>
      <w:tr>
        <w:trPr>
          <w:cantSplit/>
        </w:trPr>
        <w:tc>
          <w:tcPr>
            <w:tcW w:type="auto" w:w="0"/>
          </w:tcPr>
          <w:p>
            <w:pPr>
              <w:spacing w:before="0" w:after="0" w:line="276" w:lineRule="auto"/>
            </w:pPr>
            <w:r>
              <w:rPr>
                <w:sz w:val="16"/>
              </w:rPr>
              <w:t>Maor et al. (2024)</w:t>
            </w:r>
          </w:p>
        </w:tc>
        <w:tc>
          <w:tcPr>
            <w:tcW w:type="auto" w:w="0"/>
          </w:tcPr>
          <w:p>
            <w:pPr>
              <w:spacing w:before="0" w:after="0" w:line="276" w:lineRule="auto"/>
            </w:pPr>
            <w:r>
              <w:rPr>
                <w:sz w:val="16"/>
              </w:rPr>
              <w:t>Leadership versatility framework</w:t>
            </w:r>
          </w:p>
        </w:tc>
        <w:tc>
          <w:tcPr>
            <w:tcW w:type="auto" w:w="0"/>
          </w:tcPr>
          <w:p>
            <w:pPr>
              <w:spacing w:before="0" w:after="0" w:line="276" w:lineRule="auto"/>
            </w:pPr>
            <w:r>
              <w:rPr>
                <w:sz w:val="16"/>
              </w:rPr>
              <w:t>Capstone presentation excellence; professional positioning</w:t>
            </w:r>
          </w:p>
        </w:tc>
      </w:tr>
    </w:tbl>
    <w:p>
      <w:pPr>
        <w:spacing w:before="0" w:after="120"/>
      </w:pPr>
      <w:r>
        <w:rPr>
          <w:b/>
          <w:sz w:val="20"/>
        </w:rPr>
        <w:t>Complementary Frameworks:</w:t>
      </w:r>
    </w:p>
    <w:p>
      <w:pPr>
        <w:spacing w:before="0" w:after="0" w:line="276" w:lineRule="auto"/>
        <w:ind w:left="283"/>
      </w:pPr>
      <w:r>
        <w:rPr>
          <w:sz w:val="20"/>
        </w:rPr>
        <w:t xml:space="preserve">• </w:t>
      </w:r>
      <w:r>
        <w:rPr>
          <w:sz w:val="20"/>
        </w:rPr>
        <w:t>Schön's reflection-in-action maps onto Kolb's reflective observation stage</w:t>
      </w:r>
    </w:p>
    <w:p>
      <w:pPr>
        <w:spacing w:before="0" w:after="0" w:line="276" w:lineRule="auto"/>
        <w:ind w:left="283"/>
      </w:pPr>
      <w:r>
        <w:rPr>
          <w:sz w:val="20"/>
        </w:rPr>
        <w:t xml:space="preserve">• </w:t>
      </w:r>
      <w:r>
        <w:rPr>
          <w:sz w:val="20"/>
        </w:rPr>
        <w:t>Schön's reflection-on-action supports Kolb's abstract conceptualization</w:t>
      </w:r>
    </w:p>
    <w:p>
      <w:pPr>
        <w:spacing w:before="0" w:after="0" w:line="276" w:lineRule="auto"/>
        <w:ind w:left="283"/>
      </w:pPr>
      <w:r>
        <w:rPr>
          <w:sz w:val="20"/>
        </w:rPr>
        <w:t xml:space="preserve">• </w:t>
      </w:r>
      <w:r>
        <w:rPr>
          <w:sz w:val="20"/>
        </w:rPr>
        <w:t>MIT Sloan's meta-learning questions operationalize both foundational frameworks</w:t>
      </w:r>
    </w:p>
    <w:p>
      <w:pPr>
        <w:spacing w:before="0" w:after="0" w:line="276" w:lineRule="auto"/>
        <w:ind w:left="283"/>
      </w:pPr>
      <w:r>
        <w:rPr>
          <w:sz w:val="20"/>
        </w:rPr>
        <w:t xml:space="preserve">• </w:t>
      </w:r>
      <w:r>
        <w:rPr>
          <w:sz w:val="20"/>
        </w:rPr>
        <w:t>McKinsey's versatility dimensions provide comprehensive self-assessment structure</w:t>
      </w:r>
    </w:p>
    <w:p>
      <w:pPr>
        <w:spacing w:before="0" w:after="120"/>
      </w:pPr>
      <w:r>
        <w:rPr>
          <w:b/>
          <w:sz w:val="20"/>
        </w:rPr>
        <w:t>Teaching Sequence Recommendation:</w:t>
      </w:r>
    </w:p>
    <w:p>
      <w:pPr>
        <w:spacing w:before="0" w:after="0" w:line="276" w:lineRule="auto"/>
        <w:ind w:left="283"/>
      </w:pPr>
      <w:r>
        <w:rPr>
          <w:sz w:val="20"/>
        </w:rPr>
        <w:t xml:space="preserve">1. </w:t>
      </w:r>
      <w:r>
        <w:rPr>
          <w:sz w:val="20"/>
        </w:rPr>
        <w:t>Open with Kolb's Experiential Learning Cycle as organizing framework for course integration</w:t>
      </w:r>
    </w:p>
    <w:p>
      <w:pPr>
        <w:spacing w:before="0" w:after="0" w:line="276" w:lineRule="auto"/>
        <w:ind w:left="283"/>
      </w:pPr>
      <w:r>
        <w:rPr>
          <w:sz w:val="20"/>
        </w:rPr>
        <w:t xml:space="preserve">2. </w:t>
      </w:r>
      <w:r>
        <w:rPr>
          <w:sz w:val="20"/>
        </w:rPr>
        <w:t>Apply Schön's reflective practice for self-assessment activities</w:t>
      </w:r>
    </w:p>
    <w:p>
      <w:pPr>
        <w:spacing w:before="0" w:after="0" w:line="276" w:lineRule="auto"/>
        <w:ind w:left="283"/>
      </w:pPr>
      <w:r>
        <w:rPr>
          <w:sz w:val="20"/>
        </w:rPr>
        <w:t xml:space="preserve">3. </w:t>
      </w:r>
      <w:r>
        <w:rPr>
          <w:sz w:val="20"/>
        </w:rPr>
        <w:t>Use MIT Sloan's four strategies for personal development plan structure</w:t>
      </w:r>
    </w:p>
    <w:p>
      <w:pPr>
        <w:spacing w:before="0" w:after="0" w:line="276" w:lineRule="auto"/>
        <w:ind w:left="283"/>
      </w:pPr>
      <w:r>
        <w:rPr>
          <w:sz w:val="20"/>
        </w:rPr>
        <w:t xml:space="preserve">4. </w:t>
      </w:r>
      <w:r>
        <w:rPr>
          <w:sz w:val="20"/>
        </w:rPr>
        <w:t>Reference McKinsey's versatility framework for capstone presentation excellence</w:t>
      </w:r>
    </w:p>
    <w:p>
      <w:pPr>
        <w:spacing w:before="0" w:after="120"/>
      </w:pPr>
      <w:r>
        <w:rPr>
          <w:b/>
          <w:sz w:val="20"/>
        </w:rPr>
        <w:t>Total Citations:</w:t>
      </w:r>
      <w:r>
        <w:rPr>
          <w:sz w:val="20"/>
        </w:rPr>
        <w:t xml:space="preserve"> 24,900+ (seminal works combined)</w:t>
      </w:r>
    </w:p>
    <w:sectPr w:rsidR="00F3238A" w:rsidRPr="00B3540B">
      <w:footerReference w:type="default" r:id="rId7"/>
      <w:pgSz w:w="11906" w:h="16838"/>
      <w:pgMar w:top="850" w:right="850" w:bottom="85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sz w:val="16"/>
      </w:rPr>
      <w:t xml:space="preserve">BCI2AU Business Communication | Andrews University | NEU Vietnam | Page </w:t>
    </w:r>
    <w:r>
      <w:rPr>
        <w:sz w:val="18"/>
      </w:rPr>
      <w:fldChar w:fldCharType="begin"/>
      <w:instrText xml:space="preserve">PAGE</w:instrText>
      <w:fldChar w:fldCharType="end"/>
    </w:r>
    <w:r>
      <w:rPr>
        <w:sz w:val="16"/>
      </w:rPr>
      <w:t xml:space="preserve"> of </w:t>
    </w:r>
    <w:r>
      <w:rPr>
        <w:sz w:val="18"/>
      </w:rPr>
      <w:fldChar w:fldCharType="begin"/>
      <w:instrText xml:space="preserve">NUMPAGES</w:instrText>
      <w:fldChar w:fldCharType="end"/>
    </w:r>
  </w:p>
  <w:p>
    <w:pPr>
      <w:spacing w:before="0" w:after="0" w:line="240" w:lineRule="auto"/>
      <w:jc w:val="right"/>
    </w:pPr>
    <w:r>
      <w:rPr>
        <w:sz w:val="16"/>
      </w:rPr>
      <w:t>Generated: November 28, 2025</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40B"/>
    <w:rsid w:val="001D3373"/>
    <w:rsid w:val="00726D56"/>
    <w:rsid w:val="0084714C"/>
    <w:rsid w:val="008614E5"/>
    <w:rsid w:val="00B3540B"/>
    <w:rsid w:val="00F3238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EAD2F"/>
  <w15:chartTrackingRefBased/>
  <w15:docId w15:val="{4B53953C-6F2E-B749-AA3A-6542F3BC2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VN"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40B"/>
    <w:rPr>
      <w:sz w:val="20"/>
      <w:szCs w:val="20"/>
    </w:rPr>
  </w:style>
  <w:style w:type="paragraph" w:styleId="Heading1">
    <w:name w:val="heading 1"/>
    <w:basedOn w:val="Normal"/>
    <w:next w:val="Normal"/>
    <w:link w:val="Heading1Char"/>
    <w:uiPriority w:val="9"/>
    <w:qFormat/>
    <w:rsid w:val="00B3540B"/>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B3540B"/>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B3540B"/>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B3540B"/>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B3540B"/>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B3540B"/>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B3540B"/>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B3540B"/>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3540B"/>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40B"/>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B3540B"/>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B3540B"/>
    <w:rPr>
      <w:caps/>
      <w:color w:val="0A2F40" w:themeColor="accent1" w:themeShade="7F"/>
      <w:spacing w:val="15"/>
    </w:rPr>
  </w:style>
  <w:style w:type="character" w:customStyle="1" w:styleId="Heading4Char">
    <w:name w:val="Heading 4 Char"/>
    <w:basedOn w:val="DefaultParagraphFont"/>
    <w:link w:val="Heading4"/>
    <w:uiPriority w:val="9"/>
    <w:semiHidden/>
    <w:rsid w:val="00B3540B"/>
    <w:rPr>
      <w:caps/>
      <w:color w:val="0F4761" w:themeColor="accent1" w:themeShade="BF"/>
      <w:spacing w:val="10"/>
    </w:rPr>
  </w:style>
  <w:style w:type="character" w:customStyle="1" w:styleId="Heading5Char">
    <w:name w:val="Heading 5 Char"/>
    <w:basedOn w:val="DefaultParagraphFont"/>
    <w:link w:val="Heading5"/>
    <w:uiPriority w:val="9"/>
    <w:semiHidden/>
    <w:rsid w:val="00B3540B"/>
    <w:rPr>
      <w:caps/>
      <w:color w:val="0F4761" w:themeColor="accent1" w:themeShade="BF"/>
      <w:spacing w:val="10"/>
    </w:rPr>
  </w:style>
  <w:style w:type="character" w:customStyle="1" w:styleId="Heading6Char">
    <w:name w:val="Heading 6 Char"/>
    <w:basedOn w:val="DefaultParagraphFont"/>
    <w:link w:val="Heading6"/>
    <w:uiPriority w:val="9"/>
    <w:semiHidden/>
    <w:rsid w:val="00B3540B"/>
    <w:rPr>
      <w:caps/>
      <w:color w:val="0F4761" w:themeColor="accent1" w:themeShade="BF"/>
      <w:spacing w:val="10"/>
    </w:rPr>
  </w:style>
  <w:style w:type="character" w:customStyle="1" w:styleId="Heading7Char">
    <w:name w:val="Heading 7 Char"/>
    <w:basedOn w:val="DefaultParagraphFont"/>
    <w:link w:val="Heading7"/>
    <w:uiPriority w:val="9"/>
    <w:semiHidden/>
    <w:rsid w:val="00B3540B"/>
    <w:rPr>
      <w:caps/>
      <w:color w:val="0F4761" w:themeColor="accent1" w:themeShade="BF"/>
      <w:spacing w:val="10"/>
    </w:rPr>
  </w:style>
  <w:style w:type="character" w:customStyle="1" w:styleId="Heading8Char">
    <w:name w:val="Heading 8 Char"/>
    <w:basedOn w:val="DefaultParagraphFont"/>
    <w:link w:val="Heading8"/>
    <w:uiPriority w:val="9"/>
    <w:semiHidden/>
    <w:rsid w:val="00B3540B"/>
    <w:rPr>
      <w:caps/>
      <w:spacing w:val="10"/>
      <w:sz w:val="18"/>
      <w:szCs w:val="18"/>
    </w:rPr>
  </w:style>
  <w:style w:type="character" w:customStyle="1" w:styleId="Heading9Char">
    <w:name w:val="Heading 9 Char"/>
    <w:basedOn w:val="DefaultParagraphFont"/>
    <w:link w:val="Heading9"/>
    <w:uiPriority w:val="9"/>
    <w:semiHidden/>
    <w:rsid w:val="00B3540B"/>
    <w:rPr>
      <w:i/>
      <w:caps/>
      <w:spacing w:val="10"/>
      <w:sz w:val="18"/>
      <w:szCs w:val="18"/>
    </w:rPr>
  </w:style>
  <w:style w:type="paragraph" w:styleId="Title">
    <w:name w:val="Title"/>
    <w:basedOn w:val="Normal"/>
    <w:next w:val="Normal"/>
    <w:link w:val="TitleChar"/>
    <w:uiPriority w:val="10"/>
    <w:qFormat/>
    <w:rsid w:val="00B3540B"/>
    <w:pPr>
      <w:spacing w:before="720"/>
    </w:pPr>
    <w:rPr>
      <w:caps/>
      <w:color w:val="156082" w:themeColor="accent1"/>
      <w:spacing w:val="10"/>
      <w:kern w:val="28"/>
      <w:sz w:val="52"/>
      <w:szCs w:val="52"/>
    </w:rPr>
  </w:style>
  <w:style w:type="character" w:customStyle="1" w:styleId="TitleChar">
    <w:name w:val="Title Char"/>
    <w:basedOn w:val="DefaultParagraphFont"/>
    <w:link w:val="Title"/>
    <w:uiPriority w:val="10"/>
    <w:rsid w:val="00B3540B"/>
    <w:rPr>
      <w:caps/>
      <w:color w:val="156082" w:themeColor="accent1"/>
      <w:spacing w:val="10"/>
      <w:kern w:val="28"/>
      <w:sz w:val="52"/>
      <w:szCs w:val="52"/>
    </w:rPr>
  </w:style>
  <w:style w:type="paragraph" w:styleId="Subtitle">
    <w:name w:val="Subtitle"/>
    <w:basedOn w:val="Normal"/>
    <w:next w:val="Normal"/>
    <w:link w:val="SubtitleChar"/>
    <w:uiPriority w:val="11"/>
    <w:qFormat/>
    <w:rsid w:val="00B3540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B3540B"/>
    <w:rPr>
      <w:caps/>
      <w:color w:val="595959" w:themeColor="text1" w:themeTint="A6"/>
      <w:spacing w:val="10"/>
      <w:sz w:val="24"/>
      <w:szCs w:val="24"/>
    </w:rPr>
  </w:style>
  <w:style w:type="paragraph" w:styleId="Quote">
    <w:name w:val="Quote"/>
    <w:basedOn w:val="Normal"/>
    <w:next w:val="Normal"/>
    <w:link w:val="QuoteChar"/>
    <w:uiPriority w:val="29"/>
    <w:qFormat/>
    <w:rsid w:val="00B3540B"/>
    <w:rPr>
      <w:i/>
      <w:iCs/>
    </w:rPr>
  </w:style>
  <w:style w:type="character" w:customStyle="1" w:styleId="QuoteChar">
    <w:name w:val="Quote Char"/>
    <w:basedOn w:val="DefaultParagraphFont"/>
    <w:link w:val="Quote"/>
    <w:uiPriority w:val="29"/>
    <w:rsid w:val="00B3540B"/>
    <w:rPr>
      <w:i/>
      <w:iCs/>
      <w:sz w:val="20"/>
      <w:szCs w:val="20"/>
    </w:rPr>
  </w:style>
  <w:style w:type="paragraph" w:styleId="ListParagraph">
    <w:name w:val="List Paragraph"/>
    <w:basedOn w:val="Normal"/>
    <w:uiPriority w:val="34"/>
    <w:qFormat/>
    <w:rsid w:val="00B3540B"/>
    <w:pPr>
      <w:ind w:left="720"/>
      <w:contextualSpacing/>
    </w:pPr>
  </w:style>
  <w:style w:type="character" w:styleId="IntenseEmphasis">
    <w:name w:val="Intense Emphasis"/>
    <w:uiPriority w:val="21"/>
    <w:qFormat/>
    <w:rsid w:val="00B3540B"/>
    <w:rPr>
      <w:b/>
      <w:bCs/>
      <w:caps/>
      <w:color w:val="0A2F40" w:themeColor="accent1" w:themeShade="7F"/>
      <w:spacing w:val="10"/>
    </w:rPr>
  </w:style>
  <w:style w:type="paragraph" w:styleId="IntenseQuote">
    <w:name w:val="Intense Quote"/>
    <w:basedOn w:val="Normal"/>
    <w:next w:val="Normal"/>
    <w:link w:val="IntenseQuoteChar"/>
    <w:uiPriority w:val="30"/>
    <w:qFormat/>
    <w:rsid w:val="00B3540B"/>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B3540B"/>
    <w:rPr>
      <w:i/>
      <w:iCs/>
      <w:color w:val="156082" w:themeColor="accent1"/>
      <w:sz w:val="20"/>
      <w:szCs w:val="20"/>
    </w:rPr>
  </w:style>
  <w:style w:type="character" w:styleId="IntenseReference">
    <w:name w:val="Intense Reference"/>
    <w:uiPriority w:val="32"/>
    <w:qFormat/>
    <w:rsid w:val="00B3540B"/>
    <w:rPr>
      <w:b/>
      <w:bCs/>
      <w:i/>
      <w:iCs/>
      <w:caps/>
      <w:color w:val="156082" w:themeColor="accent1"/>
    </w:rPr>
  </w:style>
  <w:style w:type="paragraph" w:styleId="Caption">
    <w:name w:val="caption"/>
    <w:basedOn w:val="Normal"/>
    <w:next w:val="Normal"/>
    <w:uiPriority w:val="35"/>
    <w:semiHidden/>
    <w:unhideWhenUsed/>
    <w:qFormat/>
    <w:rsid w:val="00B3540B"/>
    <w:rPr>
      <w:b/>
      <w:bCs/>
      <w:color w:val="0F4761" w:themeColor="accent1" w:themeShade="BF"/>
      <w:sz w:val="16"/>
      <w:szCs w:val="16"/>
    </w:rPr>
  </w:style>
  <w:style w:type="character" w:styleId="Strong">
    <w:name w:val="Strong"/>
    <w:uiPriority w:val="22"/>
    <w:qFormat/>
    <w:rsid w:val="00B3540B"/>
    <w:rPr>
      <w:b/>
      <w:bCs/>
    </w:rPr>
  </w:style>
  <w:style w:type="character" w:styleId="Emphasis">
    <w:name w:val="Emphasis"/>
    <w:uiPriority w:val="20"/>
    <w:qFormat/>
    <w:rsid w:val="00B3540B"/>
    <w:rPr>
      <w:caps/>
      <w:color w:val="0A2F40" w:themeColor="accent1" w:themeShade="7F"/>
      <w:spacing w:val="5"/>
    </w:rPr>
  </w:style>
  <w:style w:type="paragraph" w:styleId="NoSpacing">
    <w:name w:val="No Spacing"/>
    <w:basedOn w:val="Normal"/>
    <w:link w:val="NoSpacingChar"/>
    <w:uiPriority w:val="1"/>
    <w:qFormat/>
    <w:rsid w:val="00B3540B"/>
    <w:pPr>
      <w:spacing w:before="0" w:after="0" w:line="240" w:lineRule="auto"/>
    </w:pPr>
  </w:style>
  <w:style w:type="character" w:customStyle="1" w:styleId="NoSpacingChar">
    <w:name w:val="No Spacing Char"/>
    <w:basedOn w:val="DefaultParagraphFont"/>
    <w:link w:val="NoSpacing"/>
    <w:uiPriority w:val="1"/>
    <w:rsid w:val="00B3540B"/>
    <w:rPr>
      <w:sz w:val="20"/>
      <w:szCs w:val="20"/>
    </w:rPr>
  </w:style>
  <w:style w:type="character" w:styleId="SubtleEmphasis">
    <w:name w:val="Subtle Emphasis"/>
    <w:uiPriority w:val="19"/>
    <w:qFormat/>
    <w:rsid w:val="00B3540B"/>
    <w:rPr>
      <w:i/>
      <w:iCs/>
      <w:color w:val="0A2F40" w:themeColor="accent1" w:themeShade="7F"/>
    </w:rPr>
  </w:style>
  <w:style w:type="character" w:styleId="SubtleReference">
    <w:name w:val="Subtle Reference"/>
    <w:uiPriority w:val="31"/>
    <w:qFormat/>
    <w:rsid w:val="00B3540B"/>
    <w:rPr>
      <w:b/>
      <w:bCs/>
      <w:color w:val="156082" w:themeColor="accent1"/>
    </w:rPr>
  </w:style>
  <w:style w:type="character" w:styleId="BookTitle">
    <w:name w:val="Book Title"/>
    <w:uiPriority w:val="33"/>
    <w:qFormat/>
    <w:rsid w:val="00B3540B"/>
    <w:rPr>
      <w:b/>
      <w:bCs/>
      <w:i/>
      <w:iCs/>
      <w:spacing w:val="9"/>
    </w:rPr>
  </w:style>
  <w:style w:type="paragraph" w:styleId="TOCHeading">
    <w:name w:val="TOC Heading"/>
    <w:basedOn w:val="Heading1"/>
    <w:next w:val="Normal"/>
    <w:uiPriority w:val="39"/>
    <w:semiHidden/>
    <w:unhideWhenUsed/>
    <w:qFormat/>
    <w:rsid w:val="00B3540B"/>
    <w:pPr>
      <w:outlineLvl w:val="9"/>
    </w:pPr>
  </w:style>
  <w:style w:type="paragraph" w:customStyle="1" w:styleId="ListBullet">
    <w:name w:val="List Bullet"/>
  </w:style>
  <w:style w:type="paragraph" w:customStyle="1" w:styleId="ListNumber">
    <w:name w:val="List Number"/>
  </w:style>
  <w:style w:type="table" w:customStyle="1" w:styleId="TableGrid">
    <w:name w:val="Table Gri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3DC35-7C66-E54A-999D-EC96B852E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 Hoang</dc:creator>
  <cp:keywords/>
  <dc:description/>
  <cp:lastModifiedBy>Wil Hoang</cp:lastModifiedBy>
  <cp:revision>1</cp:revision>
  <dcterms:created xsi:type="dcterms:W3CDTF">2025-11-27T05:22:00Z</dcterms:created>
  <dcterms:modified xsi:type="dcterms:W3CDTF">2025-11-27T05:24:00Z</dcterms:modified>
</cp:coreProperties>
</file>