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4845" w:type="dxa"/>
        <w:jc w:val="center"/>
        <w:tblLayout w:type="fixed"/>
        <w:tblCellMar>
          <w:left w:w="115" w:type="dxa"/>
          <w:right w:w="115" w:type="dxa"/>
        </w:tblCellMar>
        <w:tblLook w:val="04A0" w:firstRow="1" w:lastRow="0" w:firstColumn="1" w:lastColumn="0" w:noHBand="0" w:noVBand="1"/>
      </w:tblPr>
      <w:tblGrid>
        <w:gridCol w:w="3055"/>
        <w:gridCol w:w="1620"/>
        <w:gridCol w:w="2520"/>
        <w:gridCol w:w="1440"/>
        <w:gridCol w:w="2970"/>
        <w:gridCol w:w="1530"/>
        <w:gridCol w:w="1710"/>
      </w:tblGrid>
      <w:tr w:rsidR="00861E8F" w:rsidTr="00F2073A">
        <w:trPr>
          <w:jc w:val="center"/>
        </w:trPr>
        <w:tc>
          <w:tcPr>
            <w:tcW w:w="14845" w:type="dxa"/>
            <w:gridSpan w:val="7"/>
            <w:tcBorders>
              <w:top w:val="nil"/>
              <w:left w:val="nil"/>
              <w:bottom w:val="nil"/>
              <w:right w:val="nil"/>
            </w:tcBorders>
          </w:tcPr>
          <w:p w:rsidR="00861E8F" w:rsidRPr="002C3D5F" w:rsidRDefault="00861E8F" w:rsidP="00F2073A">
            <w:pPr>
              <w:rPr>
                <w:rFonts w:ascii="Times New Roman" w:hAnsi="Times New Roman" w:cs="Times New Roman"/>
                <w:sz w:val="24"/>
                <w:szCs w:val="24"/>
              </w:rPr>
            </w:pPr>
            <w:r>
              <w:rPr>
                <w:rFonts w:ascii="Times New Roman" w:hAnsi="Times New Roman" w:cs="Times New Roman"/>
                <w:b/>
                <w:sz w:val="24"/>
                <w:szCs w:val="24"/>
              </w:rPr>
              <w:t xml:space="preserve">Table S1: </w:t>
            </w:r>
            <w:r>
              <w:rPr>
                <w:rFonts w:ascii="Times New Roman" w:hAnsi="Times New Roman" w:cs="Times New Roman"/>
                <w:sz w:val="24"/>
                <w:szCs w:val="24"/>
              </w:rPr>
              <w:t>Review of selected ecological forecasts with partitioned uncertainty. IC = initial conditions</w:t>
            </w:r>
          </w:p>
        </w:tc>
      </w:tr>
      <w:tr w:rsidR="00861E8F" w:rsidTr="00F2073A">
        <w:trPr>
          <w:jc w:val="center"/>
        </w:trPr>
        <w:tc>
          <w:tcPr>
            <w:tcW w:w="3055" w:type="dxa"/>
            <w:tcBorders>
              <w:top w:val="nil"/>
              <w:left w:val="nil"/>
              <w:bottom w:val="double" w:sz="4" w:space="0" w:color="auto"/>
              <w:right w:val="nil"/>
            </w:tcBorders>
            <w:vAlign w:val="bottom"/>
          </w:tcPr>
          <w:p w:rsidR="00861E8F" w:rsidRPr="002E5E0B" w:rsidRDefault="00861E8F" w:rsidP="00F2073A">
            <w:pPr>
              <w:ind w:right="-720"/>
              <w:rPr>
                <w:rFonts w:ascii="Times New Roman" w:hAnsi="Times New Roman" w:cs="Times New Roman"/>
                <w:b/>
                <w:sz w:val="24"/>
                <w:szCs w:val="24"/>
              </w:rPr>
            </w:pPr>
            <w:r>
              <w:rPr>
                <w:rFonts w:ascii="Times New Roman" w:hAnsi="Times New Roman" w:cs="Times New Roman"/>
                <w:b/>
                <w:sz w:val="24"/>
                <w:szCs w:val="24"/>
              </w:rPr>
              <w:t xml:space="preserve">                   </w:t>
            </w:r>
            <w:r w:rsidRPr="002E5E0B">
              <w:rPr>
                <w:rFonts w:ascii="Times New Roman" w:hAnsi="Times New Roman" w:cs="Times New Roman"/>
                <w:b/>
                <w:sz w:val="24"/>
                <w:szCs w:val="24"/>
              </w:rPr>
              <w:t>Paper</w:t>
            </w:r>
          </w:p>
        </w:tc>
        <w:tc>
          <w:tcPr>
            <w:tcW w:w="1620" w:type="dxa"/>
            <w:tcBorders>
              <w:top w:val="nil"/>
              <w:left w:val="nil"/>
              <w:bottom w:val="double" w:sz="4" w:space="0" w:color="auto"/>
              <w:right w:val="nil"/>
            </w:tcBorders>
            <w:vAlign w:val="bottom"/>
          </w:tcPr>
          <w:p w:rsidR="00861E8F" w:rsidRPr="002E5E0B" w:rsidRDefault="00861E8F" w:rsidP="00F2073A">
            <w:pPr>
              <w:ind w:right="27"/>
              <w:jc w:val="center"/>
              <w:rPr>
                <w:rFonts w:ascii="Times New Roman" w:hAnsi="Times New Roman" w:cs="Times New Roman"/>
                <w:b/>
                <w:sz w:val="24"/>
                <w:szCs w:val="24"/>
              </w:rPr>
            </w:pPr>
            <w:r w:rsidRPr="002E5E0B">
              <w:rPr>
                <w:rFonts w:ascii="Times New Roman" w:hAnsi="Times New Roman" w:cs="Times New Roman"/>
                <w:b/>
                <w:sz w:val="24"/>
                <w:szCs w:val="24"/>
              </w:rPr>
              <w:t xml:space="preserve">Ecosystem or </w:t>
            </w:r>
            <w:r>
              <w:rPr>
                <w:rFonts w:ascii="Times New Roman" w:hAnsi="Times New Roman" w:cs="Times New Roman"/>
                <w:b/>
                <w:sz w:val="24"/>
                <w:szCs w:val="24"/>
              </w:rPr>
              <w:t>region</w:t>
            </w:r>
          </w:p>
        </w:tc>
        <w:tc>
          <w:tcPr>
            <w:tcW w:w="2520" w:type="dxa"/>
            <w:tcBorders>
              <w:top w:val="nil"/>
              <w:left w:val="nil"/>
              <w:bottom w:val="double" w:sz="4" w:space="0" w:color="auto"/>
              <w:right w:val="nil"/>
            </w:tcBorders>
            <w:vAlign w:val="bottom"/>
          </w:tcPr>
          <w:p w:rsidR="00861E8F" w:rsidRPr="002E5E0B" w:rsidRDefault="00861E8F" w:rsidP="00F2073A">
            <w:pPr>
              <w:ind w:right="28"/>
              <w:jc w:val="center"/>
              <w:rPr>
                <w:rFonts w:ascii="Times New Roman" w:hAnsi="Times New Roman" w:cs="Times New Roman"/>
                <w:b/>
                <w:sz w:val="24"/>
                <w:szCs w:val="24"/>
              </w:rPr>
            </w:pPr>
            <w:r w:rsidRPr="002E5E0B">
              <w:rPr>
                <w:rFonts w:ascii="Times New Roman" w:hAnsi="Times New Roman" w:cs="Times New Roman"/>
                <w:b/>
                <w:sz w:val="24"/>
                <w:szCs w:val="24"/>
              </w:rPr>
              <w:t>Focal forecasting variable</w:t>
            </w:r>
          </w:p>
        </w:tc>
        <w:tc>
          <w:tcPr>
            <w:tcW w:w="1440" w:type="dxa"/>
            <w:tcBorders>
              <w:top w:val="nil"/>
              <w:left w:val="nil"/>
              <w:bottom w:val="double" w:sz="4" w:space="0" w:color="auto"/>
              <w:right w:val="nil"/>
            </w:tcBorders>
            <w:vAlign w:val="bottom"/>
          </w:tcPr>
          <w:p w:rsidR="00861E8F" w:rsidRPr="002E5E0B" w:rsidRDefault="00861E8F" w:rsidP="00F2073A">
            <w:pPr>
              <w:ind w:right="14"/>
              <w:jc w:val="center"/>
              <w:rPr>
                <w:rFonts w:ascii="Times New Roman" w:hAnsi="Times New Roman" w:cs="Times New Roman"/>
                <w:b/>
                <w:sz w:val="24"/>
                <w:szCs w:val="24"/>
              </w:rPr>
            </w:pPr>
            <w:r w:rsidRPr="002E5E0B">
              <w:rPr>
                <w:rFonts w:ascii="Times New Roman" w:hAnsi="Times New Roman" w:cs="Times New Roman"/>
                <w:b/>
                <w:sz w:val="24"/>
                <w:szCs w:val="24"/>
              </w:rPr>
              <w:t>Forecast horizon</w:t>
            </w:r>
          </w:p>
        </w:tc>
        <w:tc>
          <w:tcPr>
            <w:tcW w:w="2970" w:type="dxa"/>
            <w:tcBorders>
              <w:top w:val="nil"/>
              <w:left w:val="nil"/>
              <w:bottom w:val="double" w:sz="4" w:space="0" w:color="auto"/>
              <w:right w:val="nil"/>
            </w:tcBorders>
            <w:vAlign w:val="bottom"/>
          </w:tcPr>
          <w:p w:rsidR="00861E8F" w:rsidRPr="002E5E0B" w:rsidRDefault="00861E8F" w:rsidP="00F2073A">
            <w:pPr>
              <w:jc w:val="center"/>
              <w:rPr>
                <w:rFonts w:ascii="Times New Roman" w:hAnsi="Times New Roman" w:cs="Times New Roman"/>
                <w:b/>
                <w:sz w:val="24"/>
                <w:szCs w:val="24"/>
              </w:rPr>
            </w:pPr>
            <w:r w:rsidRPr="002E5E0B">
              <w:rPr>
                <w:rFonts w:ascii="Times New Roman" w:hAnsi="Times New Roman" w:cs="Times New Roman"/>
                <w:b/>
                <w:sz w:val="24"/>
                <w:szCs w:val="24"/>
              </w:rPr>
              <w:t>Type of model</w:t>
            </w:r>
          </w:p>
        </w:tc>
        <w:tc>
          <w:tcPr>
            <w:tcW w:w="1530" w:type="dxa"/>
            <w:tcBorders>
              <w:top w:val="nil"/>
              <w:left w:val="nil"/>
              <w:bottom w:val="double" w:sz="4" w:space="0" w:color="auto"/>
              <w:right w:val="nil"/>
            </w:tcBorders>
            <w:vAlign w:val="bottom"/>
          </w:tcPr>
          <w:p w:rsidR="00861E8F" w:rsidRPr="002E5E0B" w:rsidRDefault="00861E8F" w:rsidP="00F2073A">
            <w:pPr>
              <w:jc w:val="center"/>
              <w:rPr>
                <w:rFonts w:ascii="Times New Roman" w:hAnsi="Times New Roman" w:cs="Times New Roman"/>
                <w:b/>
                <w:sz w:val="24"/>
                <w:szCs w:val="24"/>
              </w:rPr>
            </w:pPr>
            <w:r w:rsidRPr="002E5E0B">
              <w:rPr>
                <w:rFonts w:ascii="Times New Roman" w:hAnsi="Times New Roman" w:cs="Times New Roman"/>
                <w:b/>
                <w:sz w:val="24"/>
                <w:szCs w:val="24"/>
              </w:rPr>
              <w:t>Types of uncertainty quantified</w:t>
            </w:r>
          </w:p>
        </w:tc>
        <w:tc>
          <w:tcPr>
            <w:tcW w:w="1710" w:type="dxa"/>
            <w:tcBorders>
              <w:top w:val="nil"/>
              <w:left w:val="nil"/>
              <w:bottom w:val="double" w:sz="4" w:space="0" w:color="auto"/>
              <w:right w:val="nil"/>
            </w:tcBorders>
            <w:vAlign w:val="bottom"/>
          </w:tcPr>
          <w:p w:rsidR="00861E8F" w:rsidRPr="002E5E0B" w:rsidRDefault="00861E8F" w:rsidP="00F2073A">
            <w:pPr>
              <w:jc w:val="center"/>
              <w:rPr>
                <w:rFonts w:ascii="Times New Roman" w:hAnsi="Times New Roman" w:cs="Times New Roman"/>
                <w:b/>
                <w:sz w:val="24"/>
                <w:szCs w:val="24"/>
              </w:rPr>
            </w:pPr>
            <w:r w:rsidRPr="002E5E0B">
              <w:rPr>
                <w:rFonts w:ascii="Times New Roman" w:hAnsi="Times New Roman" w:cs="Times New Roman"/>
                <w:b/>
                <w:sz w:val="24"/>
                <w:szCs w:val="24"/>
              </w:rPr>
              <w:t>Dominant source of uncertainty</w:t>
            </w:r>
          </w:p>
        </w:tc>
      </w:tr>
      <w:tr w:rsidR="00861E8F" w:rsidTr="00F2073A">
        <w:trPr>
          <w:jc w:val="center"/>
        </w:trPr>
        <w:tc>
          <w:tcPr>
            <w:tcW w:w="3055" w:type="dxa"/>
            <w:tcBorders>
              <w:top w:val="double" w:sz="4" w:space="0" w:color="auto"/>
              <w:left w:val="nil"/>
              <w:bottom w:val="nil"/>
              <w:right w:val="nil"/>
            </w:tcBorders>
            <w:vAlign w:val="center"/>
          </w:tcPr>
          <w:p w:rsidR="00861E8F" w:rsidRDefault="00861E8F" w:rsidP="00F2073A">
            <w:pPr>
              <w:ind w:right="-720"/>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{"citationItems":[{"id":"ITEM-1","itemData":{"DOI":"10.1002/eap.1589","ISSN":"19395582","abstract":"Quantitative predictions are ubiquitous in ecology, yet there is limited discussion on the nature of prediction in this field. Herein I derive a general quantitative framework for analyzing and partitioning the sources of uncertainty that control predictability. The implications of this framework are assessed conceptually and linked to classic questions in ecology, such as the relative importance of endogenous (density-dependent) vs. exogenous factors, stability vs. drift, and the spatial scaling of processes. The framework is used to make a number of novel predictions and reframe approaches to experimental design, model selection, and hypothesis testing. Next, the quantitative application of the framework to partitioning uncertainties is illustrated using a short-term forecast of net ecosystem exchange. Finally, I advocate for a new comparative approach to studying predictability across different ecological systems and processes and lay out a number of hypotheses about what limits predictability and how these limits should scale in space and time.","author":[{"dropping-particle":"","family":"Dietze","given":"Michael C.","non-dropping-particle":"","parse-names":false,"suffix":""}],"container-title":"Ecological Applications","id":"ITEM-1","issue":"7","issued":{"date-parts":[["2017"]]},"page":"2048-2060","title":"Prediction in ecology: A first-principles framework: A","type":"article-journal","volume":"27"},"uris":["http://www.mendeley.com/documents/?uuid=24fc2b12-d1e7-481c-a467-cb28a9382006"]}],"mendeley":{"formattedCitation":"(Dietze 2017)","plainTextFormattedCitation":"(Dietze 2017)","previouslyFormattedCitation":"(Dietze 2017)"},"properties":{"noteIndex":0},"schema":"https://github.com/citation-style-language/schema/raw/master/csl-citation.json"}</w:instrText>
            </w:r>
            <w:r>
              <w:rPr>
                <w:rFonts w:ascii="Times New Roman" w:hAnsi="Times New Roman" w:cs="Times New Roman"/>
                <w:sz w:val="24"/>
                <w:szCs w:val="24"/>
              </w:rPr>
              <w:fldChar w:fldCharType="separate"/>
            </w:r>
            <w:r w:rsidRPr="003F50E7">
              <w:rPr>
                <w:rFonts w:ascii="Times New Roman" w:hAnsi="Times New Roman" w:cs="Times New Roman"/>
                <w:noProof/>
                <w:sz w:val="24"/>
                <w:szCs w:val="24"/>
              </w:rPr>
              <w:t>(Dietze 2017)</w:t>
            </w:r>
            <w:r>
              <w:rPr>
                <w:rFonts w:ascii="Times New Roman" w:hAnsi="Times New Roman" w:cs="Times New Roman"/>
                <w:sz w:val="24"/>
                <w:szCs w:val="24"/>
              </w:rPr>
              <w:fldChar w:fldCharType="end"/>
            </w:r>
          </w:p>
        </w:tc>
        <w:tc>
          <w:tcPr>
            <w:tcW w:w="1620" w:type="dxa"/>
            <w:tcBorders>
              <w:top w:val="double" w:sz="4" w:space="0" w:color="auto"/>
              <w:left w:val="nil"/>
              <w:bottom w:val="nil"/>
              <w:right w:val="nil"/>
            </w:tcBorders>
            <w:vAlign w:val="center"/>
          </w:tcPr>
          <w:p w:rsidR="00861E8F" w:rsidRDefault="00861E8F" w:rsidP="00F2073A">
            <w:pPr>
              <w:ind w:right="27"/>
              <w:jc w:val="center"/>
              <w:rPr>
                <w:rFonts w:ascii="Times New Roman" w:hAnsi="Times New Roman" w:cs="Times New Roman"/>
                <w:sz w:val="24"/>
                <w:szCs w:val="24"/>
              </w:rPr>
            </w:pPr>
            <w:r>
              <w:rPr>
                <w:rFonts w:ascii="Times New Roman" w:hAnsi="Times New Roman" w:cs="Times New Roman"/>
                <w:sz w:val="24"/>
                <w:szCs w:val="24"/>
              </w:rPr>
              <w:t>Forest</w:t>
            </w:r>
          </w:p>
        </w:tc>
        <w:tc>
          <w:tcPr>
            <w:tcW w:w="2520" w:type="dxa"/>
            <w:tcBorders>
              <w:top w:val="double" w:sz="4" w:space="0" w:color="auto"/>
              <w:left w:val="nil"/>
              <w:bottom w:val="nil"/>
              <w:right w:val="nil"/>
            </w:tcBorders>
            <w:vAlign w:val="center"/>
          </w:tcPr>
          <w:p w:rsidR="00861E8F" w:rsidRDefault="00861E8F" w:rsidP="00F2073A">
            <w:pPr>
              <w:ind w:right="28"/>
              <w:jc w:val="center"/>
              <w:rPr>
                <w:rFonts w:ascii="Times New Roman" w:hAnsi="Times New Roman" w:cs="Times New Roman"/>
                <w:sz w:val="24"/>
                <w:szCs w:val="24"/>
              </w:rPr>
            </w:pPr>
            <w:r>
              <w:rPr>
                <w:rFonts w:ascii="Times New Roman" w:hAnsi="Times New Roman" w:cs="Times New Roman"/>
                <w:sz w:val="24"/>
                <w:szCs w:val="24"/>
              </w:rPr>
              <w:t>Net ecosystem exchange</w:t>
            </w:r>
          </w:p>
        </w:tc>
        <w:tc>
          <w:tcPr>
            <w:tcW w:w="1440" w:type="dxa"/>
            <w:tcBorders>
              <w:top w:val="double" w:sz="4" w:space="0" w:color="auto"/>
              <w:left w:val="nil"/>
              <w:bottom w:val="nil"/>
              <w:right w:val="nil"/>
            </w:tcBorders>
            <w:vAlign w:val="center"/>
          </w:tcPr>
          <w:p w:rsidR="00861E8F" w:rsidRDefault="00861E8F" w:rsidP="00F2073A">
            <w:pPr>
              <w:ind w:right="14"/>
              <w:jc w:val="center"/>
              <w:rPr>
                <w:rFonts w:ascii="Times New Roman" w:hAnsi="Times New Roman" w:cs="Times New Roman"/>
                <w:sz w:val="24"/>
                <w:szCs w:val="24"/>
              </w:rPr>
            </w:pPr>
            <w:r>
              <w:rPr>
                <w:rFonts w:ascii="Times New Roman" w:hAnsi="Times New Roman" w:cs="Times New Roman"/>
                <w:sz w:val="24"/>
                <w:szCs w:val="24"/>
              </w:rPr>
              <w:t>Daily</w:t>
            </w:r>
          </w:p>
        </w:tc>
        <w:tc>
          <w:tcPr>
            <w:tcW w:w="2970" w:type="dxa"/>
            <w:tcBorders>
              <w:top w:val="double" w:sz="4" w:space="0" w:color="auto"/>
              <w:left w:val="nil"/>
              <w:bottom w:val="nil"/>
              <w:right w:val="nil"/>
            </w:tcBorders>
            <w:vAlign w:val="center"/>
          </w:tcPr>
          <w:p w:rsidR="00861E8F" w:rsidRPr="00656C21" w:rsidRDefault="00861E8F" w:rsidP="00F2073A">
            <w:pPr>
              <w:jc w:val="center"/>
              <w:rPr>
                <w:rFonts w:ascii="Times New Roman" w:hAnsi="Times New Roman" w:cs="Times New Roman"/>
                <w:sz w:val="24"/>
                <w:szCs w:val="24"/>
              </w:rPr>
            </w:pPr>
            <w:r>
              <w:rPr>
                <w:rFonts w:ascii="Times New Roman" w:hAnsi="Times New Roman" w:cs="Times New Roman"/>
                <w:sz w:val="24"/>
                <w:szCs w:val="24"/>
              </w:rPr>
              <w:t xml:space="preserve">2-covariate </w:t>
            </w:r>
            <w:r w:rsidRPr="00656C21">
              <w:rPr>
                <w:rFonts w:ascii="Times New Roman" w:hAnsi="Times New Roman" w:cs="Times New Roman"/>
                <w:sz w:val="24"/>
                <w:szCs w:val="24"/>
              </w:rPr>
              <w:t>Bayesian state-space</w:t>
            </w:r>
          </w:p>
        </w:tc>
        <w:tc>
          <w:tcPr>
            <w:tcW w:w="1530" w:type="dxa"/>
            <w:tcBorders>
              <w:top w:val="double" w:sz="4" w:space="0" w:color="auto"/>
              <w:left w:val="nil"/>
              <w:bottom w:val="nil"/>
              <w:right w:val="nil"/>
            </w:tcBorders>
            <w:vAlign w:val="center"/>
          </w:tcPr>
          <w:p w:rsidR="00861E8F" w:rsidRDefault="00861E8F" w:rsidP="00F2073A">
            <w:pPr>
              <w:jc w:val="center"/>
              <w:rPr>
                <w:rFonts w:ascii="Times New Roman" w:hAnsi="Times New Roman" w:cs="Times New Roman"/>
              </w:rPr>
            </w:pPr>
            <w:r w:rsidRPr="00DD701B">
              <w:rPr>
                <w:rFonts w:ascii="Times New Roman" w:hAnsi="Times New Roman" w:cs="Times New Roman"/>
              </w:rPr>
              <w:t>Driver, IC, process, parameter</w:t>
            </w:r>
          </w:p>
          <w:p w:rsidR="00861E8F" w:rsidRPr="00DD701B" w:rsidRDefault="00861E8F" w:rsidP="00F2073A">
            <w:pPr>
              <w:jc w:val="center"/>
              <w:rPr>
                <w:rFonts w:ascii="Times New Roman" w:hAnsi="Times New Roman" w:cs="Times New Roman"/>
              </w:rPr>
            </w:pPr>
          </w:p>
        </w:tc>
        <w:tc>
          <w:tcPr>
            <w:tcW w:w="1710" w:type="dxa"/>
            <w:tcBorders>
              <w:top w:val="double" w:sz="4" w:space="0" w:color="auto"/>
              <w:left w:val="nil"/>
              <w:bottom w:val="nil"/>
              <w:right w:val="nil"/>
            </w:tcBorders>
            <w:vAlign w:val="center"/>
          </w:tcPr>
          <w:p w:rsidR="00861E8F" w:rsidRDefault="00861E8F" w:rsidP="00F2073A">
            <w:pPr>
              <w:jc w:val="center"/>
              <w:rPr>
                <w:rFonts w:ascii="Times New Roman" w:hAnsi="Times New Roman" w:cs="Times New Roman"/>
                <w:sz w:val="24"/>
                <w:szCs w:val="24"/>
              </w:rPr>
            </w:pPr>
            <w:r>
              <w:rPr>
                <w:rFonts w:ascii="Times New Roman" w:hAnsi="Times New Roman" w:cs="Times New Roman"/>
                <w:sz w:val="24"/>
                <w:szCs w:val="24"/>
              </w:rPr>
              <w:t>Driver</w:t>
            </w:r>
          </w:p>
        </w:tc>
      </w:tr>
      <w:tr w:rsidR="00861E8F" w:rsidTr="00F2073A">
        <w:trPr>
          <w:jc w:val="center"/>
        </w:trPr>
        <w:tc>
          <w:tcPr>
            <w:tcW w:w="3055" w:type="dxa"/>
            <w:tcBorders>
              <w:top w:val="nil"/>
              <w:left w:val="nil"/>
              <w:bottom w:val="nil"/>
              <w:right w:val="nil"/>
            </w:tcBorders>
            <w:vAlign w:val="center"/>
          </w:tcPr>
          <w:p w:rsidR="00861E8F" w:rsidRDefault="00861E8F" w:rsidP="00F2073A">
            <w:pPr>
              <w:ind w:right="-720"/>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{"citationItems":[{"id":"ITEM-1","itemData":{"DOI":"10.1111/j.1600-0587.2009.06196.x","author":[{"dropping-particle":"","family":"Diniz-Filho","given":"Alexandre F","non-dropping-particle":"","parse-names":false,"suffix":""},{"dropping-particle":"","family":"Bini","given":"Luis Mauricio","non-dropping-particle":"","parse-names":false,"suffix":""},{"dropping-particle":"","family":"Rangel","given":"Thiago Fernando","non-dropping-particle":"","parse-names":false,"suffix":""},{"dropping-particle":"","family":"Loyola","given":"Rafael D","non-dropping-particle":"","parse-names":false,"suffix":""},{"dropping-particle":"","family":"Hof","given":"Christian","non-dropping-particle":"","parse-names":false,"suffix":""},{"dropping-particle":"","family":"Nogue","given":"David","non-dropping-particle":"","parse-names":false,"suffix":""},{"dropping-particle":"","family":"Arau","given":"Miguel B","non-dropping-particle":"","parse-names":false,"suffix":""}],"container-title":"Ecography","id":"ITEM-1","issue":"September","issued":{"date-parts":[["2009"]]},"page":"897-906","title":"Partitioning and mapping uncertainties in ensembles of forecasts of species turnover under climate change","type":"article-journal","volume":"32"},"uris":["http://www.mendeley.com/documents/?uuid=f44070c9-910c-4b89-8b1a-2d2b1454c2d1"]}],"mendeley":{"formattedCitation":"(Diniz-Filho et al. 2009)","plainTextFormattedCitation":"(Diniz-Filho et al. 2009)","previouslyFormattedCitation":"(Diniz-Filho et al. 2009)"},"properties":{"noteIndex":0},"schema":"https://github.com/citation-style-language/schema/raw/master/csl-citation.json"}</w:instrText>
            </w:r>
            <w:r>
              <w:rPr>
                <w:rFonts w:ascii="Times New Roman" w:hAnsi="Times New Roman" w:cs="Times New Roman"/>
                <w:sz w:val="24"/>
                <w:szCs w:val="24"/>
              </w:rPr>
              <w:fldChar w:fldCharType="separate"/>
            </w:r>
            <w:r w:rsidRPr="003F50E7">
              <w:rPr>
                <w:rFonts w:ascii="Times New Roman" w:hAnsi="Times New Roman" w:cs="Times New Roman"/>
                <w:noProof/>
                <w:sz w:val="24"/>
                <w:szCs w:val="24"/>
              </w:rPr>
              <w:t>(Diniz-Filho et al. 2009)</w:t>
            </w:r>
            <w:r>
              <w:rPr>
                <w:rFonts w:ascii="Times New Roman" w:hAnsi="Times New Roman" w:cs="Times New Roman"/>
                <w:sz w:val="24"/>
                <w:szCs w:val="24"/>
              </w:rPr>
              <w:fldChar w:fldCharType="end"/>
            </w:r>
          </w:p>
        </w:tc>
        <w:tc>
          <w:tcPr>
            <w:tcW w:w="1620" w:type="dxa"/>
            <w:tcBorders>
              <w:top w:val="nil"/>
              <w:left w:val="nil"/>
              <w:bottom w:val="nil"/>
              <w:right w:val="nil"/>
            </w:tcBorders>
            <w:vAlign w:val="center"/>
          </w:tcPr>
          <w:p w:rsidR="00861E8F" w:rsidRDefault="00861E8F" w:rsidP="00F2073A">
            <w:pPr>
              <w:ind w:right="27"/>
              <w:jc w:val="center"/>
              <w:rPr>
                <w:rFonts w:ascii="Times New Roman" w:hAnsi="Times New Roman" w:cs="Times New Roman"/>
                <w:sz w:val="24"/>
                <w:szCs w:val="24"/>
              </w:rPr>
            </w:pPr>
            <w:r>
              <w:rPr>
                <w:rFonts w:ascii="Times New Roman" w:hAnsi="Times New Roman" w:cs="Times New Roman"/>
                <w:sz w:val="24"/>
                <w:szCs w:val="24"/>
              </w:rPr>
              <w:t>Western hemisphere</w:t>
            </w:r>
          </w:p>
        </w:tc>
        <w:tc>
          <w:tcPr>
            <w:tcW w:w="2520" w:type="dxa"/>
            <w:tcBorders>
              <w:top w:val="nil"/>
              <w:left w:val="nil"/>
              <w:bottom w:val="nil"/>
              <w:right w:val="nil"/>
            </w:tcBorders>
            <w:vAlign w:val="center"/>
          </w:tcPr>
          <w:p w:rsidR="00861E8F" w:rsidRDefault="00861E8F" w:rsidP="00F2073A">
            <w:pPr>
              <w:ind w:right="28"/>
              <w:jc w:val="center"/>
              <w:rPr>
                <w:rFonts w:ascii="Times New Roman" w:hAnsi="Times New Roman" w:cs="Times New Roman"/>
                <w:sz w:val="24"/>
                <w:szCs w:val="24"/>
              </w:rPr>
            </w:pPr>
            <w:r>
              <w:rPr>
                <w:rFonts w:ascii="Times New Roman" w:hAnsi="Times New Roman" w:cs="Times New Roman"/>
                <w:sz w:val="24"/>
                <w:szCs w:val="24"/>
              </w:rPr>
              <w:t>Bird population distribution</w:t>
            </w:r>
          </w:p>
        </w:tc>
        <w:tc>
          <w:tcPr>
            <w:tcW w:w="1440" w:type="dxa"/>
            <w:tcBorders>
              <w:top w:val="nil"/>
              <w:left w:val="nil"/>
              <w:bottom w:val="nil"/>
              <w:right w:val="nil"/>
            </w:tcBorders>
            <w:vAlign w:val="center"/>
          </w:tcPr>
          <w:p w:rsidR="00861E8F" w:rsidRDefault="00861E8F" w:rsidP="00F2073A">
            <w:pPr>
              <w:ind w:right="14"/>
              <w:jc w:val="center"/>
              <w:rPr>
                <w:rFonts w:ascii="Times New Roman" w:hAnsi="Times New Roman" w:cs="Times New Roman"/>
                <w:sz w:val="24"/>
                <w:szCs w:val="24"/>
              </w:rPr>
            </w:pPr>
            <w:r>
              <w:rPr>
                <w:rFonts w:ascii="Times New Roman" w:hAnsi="Times New Roman" w:cs="Times New Roman"/>
                <w:sz w:val="24"/>
                <w:szCs w:val="24"/>
              </w:rPr>
              <w:t>Multi- decadal</w:t>
            </w:r>
          </w:p>
        </w:tc>
        <w:tc>
          <w:tcPr>
            <w:tcW w:w="2970" w:type="dxa"/>
            <w:tcBorders>
              <w:top w:val="nil"/>
              <w:left w:val="nil"/>
              <w:bottom w:val="nil"/>
              <w:right w:val="nil"/>
            </w:tcBorders>
            <w:vAlign w:val="center"/>
          </w:tcPr>
          <w:p w:rsidR="00861E8F" w:rsidRPr="00656C21" w:rsidRDefault="00861E8F" w:rsidP="00F2073A">
            <w:pPr>
              <w:jc w:val="center"/>
              <w:rPr>
                <w:rFonts w:ascii="Times New Roman" w:hAnsi="Times New Roman" w:cs="Times New Roman"/>
                <w:sz w:val="24"/>
                <w:szCs w:val="24"/>
              </w:rPr>
            </w:pPr>
            <w:r>
              <w:rPr>
                <w:rFonts w:ascii="Times New Roman" w:hAnsi="Times New Roman" w:cs="Times New Roman"/>
                <w:sz w:val="24"/>
                <w:szCs w:val="24"/>
              </w:rPr>
              <w:t>Species distribution model</w:t>
            </w:r>
          </w:p>
        </w:tc>
        <w:tc>
          <w:tcPr>
            <w:tcW w:w="1530" w:type="dxa"/>
            <w:tcBorders>
              <w:top w:val="nil"/>
              <w:left w:val="nil"/>
              <w:bottom w:val="nil"/>
              <w:right w:val="nil"/>
            </w:tcBorders>
            <w:vAlign w:val="center"/>
          </w:tcPr>
          <w:p w:rsidR="00861E8F" w:rsidRPr="00DD701B" w:rsidRDefault="00861E8F" w:rsidP="00F2073A">
            <w:pPr>
              <w:jc w:val="center"/>
              <w:rPr>
                <w:rFonts w:ascii="Times New Roman" w:hAnsi="Times New Roman" w:cs="Times New Roman"/>
              </w:rPr>
            </w:pPr>
            <w:r w:rsidRPr="00DD701B">
              <w:rPr>
                <w:rFonts w:ascii="Times New Roman" w:hAnsi="Times New Roman" w:cs="Times New Roman"/>
              </w:rPr>
              <w:t>Driver, process</w:t>
            </w:r>
          </w:p>
        </w:tc>
        <w:tc>
          <w:tcPr>
            <w:tcW w:w="1710" w:type="dxa"/>
            <w:tcBorders>
              <w:top w:val="nil"/>
              <w:left w:val="nil"/>
              <w:bottom w:val="nil"/>
              <w:right w:val="nil"/>
            </w:tcBorders>
            <w:vAlign w:val="center"/>
          </w:tcPr>
          <w:p w:rsidR="00861E8F" w:rsidRDefault="00861E8F" w:rsidP="00F2073A">
            <w:pPr>
              <w:jc w:val="center"/>
              <w:rPr>
                <w:rFonts w:ascii="Times New Roman" w:hAnsi="Times New Roman" w:cs="Times New Roman"/>
                <w:sz w:val="24"/>
                <w:szCs w:val="24"/>
              </w:rPr>
            </w:pPr>
            <w:r>
              <w:rPr>
                <w:rFonts w:ascii="Times New Roman" w:hAnsi="Times New Roman" w:cs="Times New Roman"/>
                <w:sz w:val="24"/>
                <w:szCs w:val="24"/>
              </w:rPr>
              <w:t>Process</w:t>
            </w:r>
          </w:p>
        </w:tc>
      </w:tr>
      <w:tr w:rsidR="00861E8F" w:rsidTr="00F2073A">
        <w:trPr>
          <w:jc w:val="center"/>
        </w:trPr>
        <w:tc>
          <w:tcPr>
            <w:tcW w:w="3055" w:type="dxa"/>
            <w:tcBorders>
              <w:top w:val="nil"/>
              <w:left w:val="nil"/>
              <w:bottom w:val="nil"/>
              <w:right w:val="nil"/>
            </w:tcBorders>
            <w:vAlign w:val="center"/>
          </w:tcPr>
          <w:p w:rsidR="00861E8F" w:rsidRDefault="00861E8F" w:rsidP="00F2073A">
            <w:pPr>
              <w:ind w:right="-720"/>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{"citationItems":[{"id":"ITEM-1","itemData":{"DOI":"10.1029/2018MS001362","ISSN":"19422466","abstract":"The magnitude and persistence of land carbon (C) pools influence long-term climate feedbacks. Interactive ecological processes influence land C pools and our understanding of these processes is imperfect so land surface models have errors and biases when compared to each other and to real observations. Here we implement an Ensemble Adjustment Kalman Filter (EAKF), a sequential state data assimilation technique to reduce these errors and biases. We implement the EAKF using the Data Assimilation Research Testbed coupled with the Community Land Model (CLM 4.5 in CESM 1.2). We assimilated simulated and real satellite observations for a site in central New Mexico, United States. A series of observing system simulation experiments allowed assessment of the data assimilation system without model error. This showed that assimilating biomass and leaf area index observations decreased model error in C dynamics forecasts (29% using biomass observations and 40% using leaf area index observations) and that assimilation in combination shows greater improvement (51% using both observation streams). Assimilating real observations highlighted likely model structural errors and we implemented an adaptive model-variance-inflation technique to allow the model to track the observations. Monthly and longer model forecasts using real observations were improved relative to forecasts without data assimilation. The reliable forecast lead-time varied by model pool and is dependent on how tightly the C pool is coupled to meteorologically driven processes. The EAKF and similar state data assimilation techniques could reduce errors in projections of the land C sink and provide more robust forecasts of C pools and land-atmosphere exchanges.","author":[{"dropping-particle":"","family":"Fox","given":"Andrew M.","non-dropping-particle":"","parse-names":false,"suffix":""},{"dropping-particle":"","family":"Hoar","given":"Timothy J.","non-dropping-particle":"","parse-names":false,"suffix":""},{"dropping-particle":"","family":"Anderson","given":"Jeffrey L.","non-dropping-particle":"","parse-names":false,"suffix":""},{"dropping-particle":"","family":"Arellano","given":"Avelino F.","non-dropping-particle":"","parse-names":false,"suffix":""},{"dropping-particle":"","family":"Smith","given":"William K.","non-dropping-particle":"","parse-names":false,"suffix":""},{"dropping-particle":"","family":"Litvak","given":"Marcy E.","non-dropping-particle":"","parse-names":false,"suffix":""},{"dropping-particle":"","family":"MacBean","given":"Natasha","non-dropping-particle":"","parse-names":false,"suffix":""},{"dropping-particle":"","family":"Schimel","given":"David S.","non-dropping-particle":"","parse-names":false,"suffix":""},{"dropping-particle":"","family":"Moore","given":"David J.P.","non-dropping-particle":"","parse-names":false,"suffix":""}],"container-title":"Journal of Advances in Modeling Earth Systems","id":"ITEM-1","issue":"10","issued":{"date-parts":[["2018"]]},"page":"2471-2494","title":"Evaluation of a Data Assimilation System for Land Surface Models Using CLM4.5","type":"article-journal","volume":"10"},"uris":["http://www.mendeley.com/documents/?uuid=d0148d7c-cbb3-405b-b35d-c9d9d4fc0452"]}],"mendeley":{"formattedCitation":"(Fox et al. 2018)","plainTextFormattedCitation":"(Fox et al. 2018)","previouslyFormattedCitation":"(Fox et al. 2018)"},"properties":{"noteIndex":0},"schema":"https://github.com/citation-style-language/schema/raw/master/csl-citation.json"}</w:instrText>
            </w:r>
            <w:r>
              <w:rPr>
                <w:rFonts w:ascii="Times New Roman" w:hAnsi="Times New Roman" w:cs="Times New Roman"/>
                <w:sz w:val="24"/>
                <w:szCs w:val="24"/>
              </w:rPr>
              <w:fldChar w:fldCharType="separate"/>
            </w:r>
            <w:r w:rsidRPr="003F50E7">
              <w:rPr>
                <w:rFonts w:ascii="Times New Roman" w:hAnsi="Times New Roman" w:cs="Times New Roman"/>
                <w:noProof/>
                <w:sz w:val="24"/>
                <w:szCs w:val="24"/>
              </w:rPr>
              <w:t>(Fox et al. 2018)</w:t>
            </w:r>
            <w:r>
              <w:rPr>
                <w:rFonts w:ascii="Times New Roman" w:hAnsi="Times New Roman" w:cs="Times New Roman"/>
                <w:sz w:val="24"/>
                <w:szCs w:val="24"/>
              </w:rPr>
              <w:fldChar w:fldCharType="end"/>
            </w:r>
          </w:p>
        </w:tc>
        <w:tc>
          <w:tcPr>
            <w:tcW w:w="1620" w:type="dxa"/>
            <w:tcBorders>
              <w:top w:val="nil"/>
              <w:left w:val="nil"/>
              <w:bottom w:val="nil"/>
              <w:right w:val="nil"/>
            </w:tcBorders>
            <w:vAlign w:val="center"/>
          </w:tcPr>
          <w:p w:rsidR="00861E8F" w:rsidRDefault="00861E8F" w:rsidP="00F2073A">
            <w:pPr>
              <w:ind w:right="27"/>
              <w:jc w:val="center"/>
              <w:rPr>
                <w:rFonts w:ascii="Times New Roman" w:hAnsi="Times New Roman" w:cs="Times New Roman"/>
                <w:sz w:val="24"/>
                <w:szCs w:val="24"/>
              </w:rPr>
            </w:pPr>
            <w:r>
              <w:rPr>
                <w:rFonts w:ascii="Times New Roman" w:hAnsi="Times New Roman" w:cs="Times New Roman"/>
                <w:sz w:val="24"/>
                <w:szCs w:val="24"/>
              </w:rPr>
              <w:t>Arid woodland/ grassland</w:t>
            </w:r>
          </w:p>
        </w:tc>
        <w:tc>
          <w:tcPr>
            <w:tcW w:w="2520" w:type="dxa"/>
            <w:tcBorders>
              <w:top w:val="nil"/>
              <w:left w:val="nil"/>
              <w:bottom w:val="nil"/>
              <w:right w:val="nil"/>
            </w:tcBorders>
            <w:vAlign w:val="center"/>
          </w:tcPr>
          <w:p w:rsidR="00861E8F" w:rsidRDefault="00861E8F" w:rsidP="00F2073A">
            <w:pPr>
              <w:ind w:right="28"/>
              <w:jc w:val="center"/>
              <w:rPr>
                <w:rFonts w:ascii="Times New Roman" w:hAnsi="Times New Roman" w:cs="Times New Roman"/>
                <w:sz w:val="24"/>
                <w:szCs w:val="24"/>
              </w:rPr>
            </w:pPr>
            <w:r>
              <w:rPr>
                <w:rFonts w:ascii="Times New Roman" w:hAnsi="Times New Roman" w:cs="Times New Roman"/>
                <w:sz w:val="24"/>
                <w:szCs w:val="24"/>
              </w:rPr>
              <w:t>Carbon stock</w:t>
            </w:r>
          </w:p>
        </w:tc>
        <w:tc>
          <w:tcPr>
            <w:tcW w:w="1440" w:type="dxa"/>
            <w:tcBorders>
              <w:top w:val="nil"/>
              <w:left w:val="nil"/>
              <w:bottom w:val="nil"/>
              <w:right w:val="nil"/>
            </w:tcBorders>
            <w:vAlign w:val="center"/>
          </w:tcPr>
          <w:p w:rsidR="00861E8F" w:rsidRDefault="00861E8F" w:rsidP="00F2073A">
            <w:pPr>
              <w:ind w:right="14"/>
              <w:jc w:val="center"/>
              <w:rPr>
                <w:rFonts w:ascii="Times New Roman" w:hAnsi="Times New Roman" w:cs="Times New Roman"/>
                <w:sz w:val="24"/>
                <w:szCs w:val="24"/>
              </w:rPr>
            </w:pPr>
            <w:r>
              <w:rPr>
                <w:rFonts w:ascii="Times New Roman" w:hAnsi="Times New Roman" w:cs="Times New Roman"/>
                <w:sz w:val="24"/>
                <w:szCs w:val="24"/>
              </w:rPr>
              <w:t>Annual</w:t>
            </w:r>
          </w:p>
        </w:tc>
        <w:tc>
          <w:tcPr>
            <w:tcW w:w="2970" w:type="dxa"/>
            <w:tcBorders>
              <w:top w:val="nil"/>
              <w:left w:val="nil"/>
              <w:bottom w:val="nil"/>
              <w:right w:val="nil"/>
            </w:tcBorders>
            <w:vAlign w:val="center"/>
          </w:tcPr>
          <w:p w:rsidR="00861E8F" w:rsidRPr="00656C21" w:rsidRDefault="00861E8F" w:rsidP="00F2073A">
            <w:pPr>
              <w:jc w:val="center"/>
              <w:rPr>
                <w:rFonts w:ascii="Times New Roman" w:hAnsi="Times New Roman" w:cs="Times New Roman"/>
                <w:sz w:val="24"/>
                <w:szCs w:val="24"/>
              </w:rPr>
            </w:pPr>
            <w:r>
              <w:rPr>
                <w:rFonts w:ascii="Times New Roman" w:hAnsi="Times New Roman" w:cs="Times New Roman"/>
                <w:sz w:val="24"/>
                <w:szCs w:val="24"/>
              </w:rPr>
              <w:t>Community land model</w:t>
            </w:r>
          </w:p>
        </w:tc>
        <w:tc>
          <w:tcPr>
            <w:tcW w:w="1530" w:type="dxa"/>
            <w:tcBorders>
              <w:top w:val="nil"/>
              <w:left w:val="nil"/>
              <w:bottom w:val="nil"/>
              <w:right w:val="nil"/>
            </w:tcBorders>
            <w:vAlign w:val="center"/>
          </w:tcPr>
          <w:p w:rsidR="00861E8F" w:rsidRPr="00DD701B" w:rsidRDefault="00861E8F" w:rsidP="00F2073A">
            <w:pPr>
              <w:jc w:val="center"/>
              <w:rPr>
                <w:rFonts w:ascii="Times New Roman" w:hAnsi="Times New Roman" w:cs="Times New Roman"/>
              </w:rPr>
            </w:pPr>
            <w:r w:rsidRPr="00DD701B">
              <w:rPr>
                <w:rFonts w:ascii="Times New Roman" w:hAnsi="Times New Roman" w:cs="Times New Roman"/>
              </w:rPr>
              <w:t>Driver, IC</w:t>
            </w:r>
          </w:p>
        </w:tc>
        <w:tc>
          <w:tcPr>
            <w:tcW w:w="1710" w:type="dxa"/>
            <w:tcBorders>
              <w:top w:val="nil"/>
              <w:left w:val="nil"/>
              <w:bottom w:val="nil"/>
              <w:right w:val="nil"/>
            </w:tcBorders>
            <w:vAlign w:val="center"/>
          </w:tcPr>
          <w:p w:rsidR="00861E8F" w:rsidRDefault="00861E8F" w:rsidP="00F2073A">
            <w:pPr>
              <w:jc w:val="center"/>
              <w:rPr>
                <w:rFonts w:ascii="Times New Roman" w:hAnsi="Times New Roman" w:cs="Times New Roman"/>
                <w:sz w:val="24"/>
                <w:szCs w:val="24"/>
              </w:rPr>
            </w:pPr>
            <w:r>
              <w:rPr>
                <w:rFonts w:ascii="Times New Roman" w:hAnsi="Times New Roman" w:cs="Times New Roman"/>
                <w:sz w:val="24"/>
                <w:szCs w:val="24"/>
              </w:rPr>
              <w:t>IC</w:t>
            </w:r>
          </w:p>
        </w:tc>
      </w:tr>
      <w:tr w:rsidR="00861E8F" w:rsidTr="00F2073A">
        <w:trPr>
          <w:jc w:val="center"/>
        </w:trPr>
        <w:tc>
          <w:tcPr>
            <w:tcW w:w="3055" w:type="dxa"/>
            <w:tcBorders>
              <w:top w:val="nil"/>
              <w:left w:val="nil"/>
              <w:bottom w:val="nil"/>
              <w:right w:val="nil"/>
            </w:tcBorders>
            <w:vAlign w:val="center"/>
          </w:tcPr>
          <w:p w:rsidR="00861E8F" w:rsidRDefault="00861E8F" w:rsidP="00F2073A">
            <w:pPr>
              <w:ind w:right="-720"/>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Gauthier","given":"Gilles","non-dropping-particle":"","parse-names":false,"suffix":""},{"dropping-particle":"","family":"Peron","given":"Guillaume","non-dropping-particle":"","parse-names":false,"suffix":""},{"dropping-particle":"","family":"Lebreton","given":"Jean-Dominique","non-dropping-particle":"","parse-names":false,"suffix":""},{"dropping-particle":"","family":"Grenier","given":"Patrick","non-dropping-particle":"","parse-names":false,"suffix":""},{"dropping-particle":"","family":"Oudanhove","given":"Louise","non-dropping-particle":"van","parse-names":false,"suffix":""}],"container-title":"Proceedings of the Royal Society B","id":"ITEM-1","issue":"20162353","issued":{"date-parts":[["2016"]]},"title":"Partitioning prediction uncertainty in climate-dependent population models","type":"article-journal","volume":"283"},"uris":["http://www.mendeley.com/documents/?uuid=0f9cd000-e58b-4ff5-b26b-f6e45cf18a4b"]}],"mendeley":{"formattedCitation":"(Gauthier et al. 2016)","plainTextFormattedCitation":"(Gauthier et al. 2016)","previouslyFormattedCitation":"(Gauthier et al. 2016)"},"properties":{"noteIndex":0},"schema":"https://github.com/citation-style-language/schema/raw/master/csl-citation.json"}</w:instrText>
            </w:r>
            <w:r>
              <w:rPr>
                <w:rFonts w:ascii="Times New Roman" w:hAnsi="Times New Roman" w:cs="Times New Roman"/>
                <w:sz w:val="24"/>
                <w:szCs w:val="24"/>
              </w:rPr>
              <w:fldChar w:fldCharType="separate"/>
            </w:r>
            <w:r w:rsidRPr="003F50E7">
              <w:rPr>
                <w:rFonts w:ascii="Times New Roman" w:hAnsi="Times New Roman" w:cs="Times New Roman"/>
                <w:noProof/>
                <w:sz w:val="24"/>
                <w:szCs w:val="24"/>
              </w:rPr>
              <w:t>(Gauthier et al. 2016)</w:t>
            </w:r>
            <w:r>
              <w:rPr>
                <w:rFonts w:ascii="Times New Roman" w:hAnsi="Times New Roman" w:cs="Times New Roman"/>
                <w:sz w:val="24"/>
                <w:szCs w:val="24"/>
              </w:rPr>
              <w:fldChar w:fldCharType="end"/>
            </w:r>
          </w:p>
        </w:tc>
        <w:tc>
          <w:tcPr>
            <w:tcW w:w="1620" w:type="dxa"/>
            <w:tcBorders>
              <w:top w:val="nil"/>
              <w:left w:val="nil"/>
              <w:bottom w:val="nil"/>
              <w:right w:val="nil"/>
            </w:tcBorders>
            <w:vAlign w:val="center"/>
          </w:tcPr>
          <w:p w:rsidR="00861E8F" w:rsidRDefault="00861E8F" w:rsidP="00F2073A">
            <w:pPr>
              <w:ind w:right="27"/>
              <w:jc w:val="center"/>
              <w:rPr>
                <w:rFonts w:ascii="Times New Roman" w:hAnsi="Times New Roman" w:cs="Times New Roman"/>
                <w:sz w:val="24"/>
                <w:szCs w:val="24"/>
              </w:rPr>
            </w:pPr>
            <w:r>
              <w:rPr>
                <w:rFonts w:ascii="Times New Roman" w:hAnsi="Times New Roman" w:cs="Times New Roman"/>
                <w:sz w:val="24"/>
                <w:szCs w:val="24"/>
              </w:rPr>
              <w:t>Arctic</w:t>
            </w:r>
          </w:p>
        </w:tc>
        <w:tc>
          <w:tcPr>
            <w:tcW w:w="2520" w:type="dxa"/>
            <w:tcBorders>
              <w:top w:val="nil"/>
              <w:left w:val="nil"/>
              <w:bottom w:val="nil"/>
              <w:right w:val="nil"/>
            </w:tcBorders>
            <w:vAlign w:val="center"/>
          </w:tcPr>
          <w:p w:rsidR="00861E8F" w:rsidRDefault="00861E8F" w:rsidP="00F2073A">
            <w:pPr>
              <w:ind w:right="28"/>
              <w:jc w:val="center"/>
              <w:rPr>
                <w:rFonts w:ascii="Times New Roman" w:hAnsi="Times New Roman" w:cs="Times New Roman"/>
                <w:sz w:val="24"/>
                <w:szCs w:val="24"/>
              </w:rPr>
            </w:pPr>
            <w:r>
              <w:rPr>
                <w:rFonts w:ascii="Times New Roman" w:hAnsi="Times New Roman" w:cs="Times New Roman"/>
                <w:sz w:val="24"/>
                <w:szCs w:val="24"/>
              </w:rPr>
              <w:t>Snow goose population</w:t>
            </w:r>
          </w:p>
        </w:tc>
        <w:tc>
          <w:tcPr>
            <w:tcW w:w="1440" w:type="dxa"/>
            <w:tcBorders>
              <w:top w:val="nil"/>
              <w:left w:val="nil"/>
              <w:bottom w:val="nil"/>
              <w:right w:val="nil"/>
            </w:tcBorders>
            <w:vAlign w:val="center"/>
          </w:tcPr>
          <w:p w:rsidR="00861E8F" w:rsidRDefault="00861E8F" w:rsidP="00F2073A">
            <w:pPr>
              <w:ind w:right="14"/>
              <w:jc w:val="center"/>
              <w:rPr>
                <w:rFonts w:ascii="Times New Roman" w:hAnsi="Times New Roman" w:cs="Times New Roman"/>
                <w:sz w:val="24"/>
                <w:szCs w:val="24"/>
              </w:rPr>
            </w:pPr>
            <w:r>
              <w:rPr>
                <w:rFonts w:ascii="Times New Roman" w:hAnsi="Times New Roman" w:cs="Times New Roman"/>
                <w:sz w:val="24"/>
                <w:szCs w:val="24"/>
              </w:rPr>
              <w:t>Multi- decadal</w:t>
            </w:r>
          </w:p>
        </w:tc>
        <w:tc>
          <w:tcPr>
            <w:tcW w:w="2970" w:type="dxa"/>
            <w:tcBorders>
              <w:top w:val="nil"/>
              <w:left w:val="nil"/>
              <w:bottom w:val="nil"/>
              <w:right w:val="nil"/>
            </w:tcBorders>
            <w:vAlign w:val="center"/>
          </w:tcPr>
          <w:p w:rsidR="00861E8F" w:rsidRPr="00656C21" w:rsidRDefault="00861E8F" w:rsidP="00F2073A">
            <w:pPr>
              <w:jc w:val="center"/>
              <w:rPr>
                <w:rFonts w:ascii="Times New Roman" w:hAnsi="Times New Roman" w:cs="Times New Roman"/>
                <w:sz w:val="24"/>
                <w:szCs w:val="24"/>
              </w:rPr>
            </w:pPr>
            <w:r w:rsidRPr="00656C21">
              <w:rPr>
                <w:rFonts w:ascii="Times New Roman" w:hAnsi="Times New Roman" w:cs="Times New Roman"/>
                <w:sz w:val="24"/>
                <w:szCs w:val="24"/>
              </w:rPr>
              <w:t>Time-varying matrix population model</w:t>
            </w:r>
          </w:p>
        </w:tc>
        <w:tc>
          <w:tcPr>
            <w:tcW w:w="1530" w:type="dxa"/>
            <w:tcBorders>
              <w:top w:val="nil"/>
              <w:left w:val="nil"/>
              <w:bottom w:val="nil"/>
              <w:right w:val="nil"/>
            </w:tcBorders>
            <w:vAlign w:val="center"/>
          </w:tcPr>
          <w:p w:rsidR="00861E8F" w:rsidRPr="00DD701B" w:rsidRDefault="00861E8F" w:rsidP="00F2073A">
            <w:pPr>
              <w:jc w:val="center"/>
              <w:rPr>
                <w:rFonts w:ascii="Times New Roman" w:hAnsi="Times New Roman" w:cs="Times New Roman"/>
              </w:rPr>
            </w:pPr>
            <w:r w:rsidRPr="00DD701B">
              <w:rPr>
                <w:rFonts w:ascii="Times New Roman" w:hAnsi="Times New Roman" w:cs="Times New Roman"/>
              </w:rPr>
              <w:t>Driver, parameter, process</w:t>
            </w:r>
          </w:p>
        </w:tc>
        <w:tc>
          <w:tcPr>
            <w:tcW w:w="1710" w:type="dxa"/>
            <w:tcBorders>
              <w:top w:val="nil"/>
              <w:left w:val="nil"/>
              <w:bottom w:val="nil"/>
              <w:right w:val="nil"/>
            </w:tcBorders>
            <w:vAlign w:val="center"/>
          </w:tcPr>
          <w:p w:rsidR="00861E8F" w:rsidRDefault="00861E8F" w:rsidP="00F2073A">
            <w:pPr>
              <w:jc w:val="center"/>
              <w:rPr>
                <w:rFonts w:ascii="Times New Roman" w:hAnsi="Times New Roman" w:cs="Times New Roman"/>
                <w:sz w:val="24"/>
                <w:szCs w:val="24"/>
              </w:rPr>
            </w:pPr>
            <w:r>
              <w:rPr>
                <w:rFonts w:ascii="Times New Roman" w:hAnsi="Times New Roman" w:cs="Times New Roman"/>
                <w:sz w:val="24"/>
                <w:szCs w:val="24"/>
              </w:rPr>
              <w:t>Parameter</w:t>
            </w:r>
          </w:p>
        </w:tc>
      </w:tr>
      <w:tr w:rsidR="00861E8F" w:rsidTr="00F2073A">
        <w:trPr>
          <w:jc w:val="center"/>
        </w:trPr>
        <w:tc>
          <w:tcPr>
            <w:tcW w:w="3055" w:type="dxa"/>
            <w:tcBorders>
              <w:top w:val="nil"/>
              <w:left w:val="nil"/>
              <w:bottom w:val="nil"/>
              <w:right w:val="nil"/>
            </w:tcBorders>
            <w:vAlign w:val="center"/>
          </w:tcPr>
          <w:p w:rsidR="00861E8F" w:rsidRDefault="00861E8F" w:rsidP="00F2073A">
            <w:pPr>
              <w:ind w:right="-720"/>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Gertner","given":"George","non-dropping-particle":"","parse-names":false,"suffix":""},{"dropping-particle":"","family":"Parysow","given":"Pablo","non-dropping-particle":"","parse-names":false,"suffix":""},{"dropping-particle":"","family":"Guan","given":"Biing","non-dropping-particle":"","parse-names":false,"suffix":""}],"container-title":"Forest Science","id":"ITEM-1","issue":"4","issued":{"date-parts":[["1996"]]},"page":"474-486","title":"Projection Variance Partitioning of a Conceptual Forest Growth Model with Orthogonal Polynomials","type":"article-journal","volume":"42"},"uris":["http://www.mendeley.com/documents/?uuid=b8898e24-aa4e-4d61-b843-4ca7422c8f80"]}],"mendeley":{"formattedCitation":"(Gertner et al. 1996)","plainTextFormattedCitation":"(Gertner et al. 1996)","previouslyFormattedCitation":"(Gertner et al. 1996)"},"properties":{"noteIndex":0},"schema":"https://github.com/citation-style-language/schema/raw/master/csl-citation.json"}</w:instrText>
            </w:r>
            <w:r>
              <w:rPr>
                <w:rFonts w:ascii="Times New Roman" w:hAnsi="Times New Roman" w:cs="Times New Roman"/>
                <w:sz w:val="24"/>
                <w:szCs w:val="24"/>
              </w:rPr>
              <w:fldChar w:fldCharType="separate"/>
            </w:r>
            <w:r w:rsidRPr="003F50E7">
              <w:rPr>
                <w:rFonts w:ascii="Times New Roman" w:hAnsi="Times New Roman" w:cs="Times New Roman"/>
                <w:noProof/>
                <w:sz w:val="24"/>
                <w:szCs w:val="24"/>
              </w:rPr>
              <w:t>(Gertner et al. 1996)</w:t>
            </w:r>
            <w:r>
              <w:rPr>
                <w:rFonts w:ascii="Times New Roman" w:hAnsi="Times New Roman" w:cs="Times New Roman"/>
                <w:sz w:val="24"/>
                <w:szCs w:val="24"/>
              </w:rPr>
              <w:fldChar w:fldCharType="end"/>
            </w:r>
          </w:p>
        </w:tc>
        <w:tc>
          <w:tcPr>
            <w:tcW w:w="1620" w:type="dxa"/>
            <w:tcBorders>
              <w:top w:val="nil"/>
              <w:left w:val="nil"/>
              <w:bottom w:val="nil"/>
              <w:right w:val="nil"/>
            </w:tcBorders>
            <w:vAlign w:val="center"/>
          </w:tcPr>
          <w:p w:rsidR="00861E8F" w:rsidRDefault="00861E8F" w:rsidP="00F2073A">
            <w:pPr>
              <w:ind w:right="27"/>
              <w:jc w:val="center"/>
              <w:rPr>
                <w:rFonts w:ascii="Times New Roman" w:hAnsi="Times New Roman" w:cs="Times New Roman"/>
                <w:sz w:val="24"/>
                <w:szCs w:val="24"/>
              </w:rPr>
            </w:pPr>
            <w:r>
              <w:rPr>
                <w:rFonts w:ascii="Times New Roman" w:hAnsi="Times New Roman" w:cs="Times New Roman"/>
                <w:sz w:val="24"/>
                <w:szCs w:val="24"/>
              </w:rPr>
              <w:t>Forest</w:t>
            </w:r>
          </w:p>
        </w:tc>
        <w:tc>
          <w:tcPr>
            <w:tcW w:w="2520" w:type="dxa"/>
            <w:tcBorders>
              <w:top w:val="nil"/>
              <w:left w:val="nil"/>
              <w:bottom w:val="nil"/>
              <w:right w:val="nil"/>
            </w:tcBorders>
            <w:vAlign w:val="center"/>
          </w:tcPr>
          <w:p w:rsidR="00861E8F" w:rsidRDefault="00861E8F" w:rsidP="00F2073A">
            <w:pPr>
              <w:ind w:right="28"/>
              <w:jc w:val="center"/>
              <w:rPr>
                <w:rFonts w:ascii="Times New Roman" w:hAnsi="Times New Roman" w:cs="Times New Roman"/>
                <w:sz w:val="24"/>
                <w:szCs w:val="24"/>
              </w:rPr>
            </w:pPr>
            <w:r>
              <w:rPr>
                <w:rFonts w:ascii="Times New Roman" w:hAnsi="Times New Roman" w:cs="Times New Roman"/>
                <w:sz w:val="24"/>
                <w:szCs w:val="24"/>
              </w:rPr>
              <w:t>Red pine growth</w:t>
            </w:r>
          </w:p>
        </w:tc>
        <w:tc>
          <w:tcPr>
            <w:tcW w:w="1440" w:type="dxa"/>
            <w:tcBorders>
              <w:top w:val="nil"/>
              <w:left w:val="nil"/>
              <w:bottom w:val="nil"/>
              <w:right w:val="nil"/>
            </w:tcBorders>
            <w:vAlign w:val="center"/>
          </w:tcPr>
          <w:p w:rsidR="00861E8F" w:rsidRDefault="00861E8F" w:rsidP="00F2073A">
            <w:pPr>
              <w:ind w:right="14"/>
              <w:jc w:val="center"/>
              <w:rPr>
                <w:rFonts w:ascii="Times New Roman" w:hAnsi="Times New Roman" w:cs="Times New Roman"/>
                <w:sz w:val="24"/>
                <w:szCs w:val="24"/>
              </w:rPr>
            </w:pPr>
            <w:r>
              <w:rPr>
                <w:rFonts w:ascii="Times New Roman" w:hAnsi="Times New Roman" w:cs="Times New Roman"/>
                <w:sz w:val="24"/>
                <w:szCs w:val="24"/>
              </w:rPr>
              <w:t>Multi- decadal</w:t>
            </w:r>
          </w:p>
        </w:tc>
        <w:tc>
          <w:tcPr>
            <w:tcW w:w="2970" w:type="dxa"/>
            <w:tcBorders>
              <w:top w:val="nil"/>
              <w:left w:val="nil"/>
              <w:bottom w:val="nil"/>
              <w:right w:val="nil"/>
            </w:tcBorders>
            <w:vAlign w:val="center"/>
          </w:tcPr>
          <w:p w:rsidR="00861E8F" w:rsidRPr="00656C21" w:rsidRDefault="00861E8F" w:rsidP="00F2073A">
            <w:pPr>
              <w:jc w:val="center"/>
              <w:rPr>
                <w:rFonts w:ascii="Times New Roman" w:hAnsi="Times New Roman" w:cs="Times New Roman"/>
                <w:sz w:val="24"/>
                <w:szCs w:val="24"/>
              </w:rPr>
            </w:pPr>
            <w:r w:rsidRPr="00656C21">
              <w:rPr>
                <w:rFonts w:ascii="Times New Roman" w:hAnsi="Times New Roman" w:cs="Times New Roman"/>
                <w:sz w:val="24"/>
                <w:szCs w:val="24"/>
              </w:rPr>
              <w:t>Pipe model (process-based)</w:t>
            </w:r>
          </w:p>
        </w:tc>
        <w:tc>
          <w:tcPr>
            <w:tcW w:w="1530" w:type="dxa"/>
            <w:tcBorders>
              <w:top w:val="nil"/>
              <w:left w:val="nil"/>
              <w:bottom w:val="nil"/>
              <w:right w:val="nil"/>
            </w:tcBorders>
            <w:vAlign w:val="center"/>
          </w:tcPr>
          <w:p w:rsidR="00861E8F" w:rsidRPr="00DD701B" w:rsidRDefault="00861E8F" w:rsidP="00F2073A">
            <w:pPr>
              <w:jc w:val="center"/>
              <w:rPr>
                <w:rFonts w:ascii="Times New Roman" w:hAnsi="Times New Roman" w:cs="Times New Roman"/>
              </w:rPr>
            </w:pPr>
            <w:r w:rsidRPr="00DD701B">
              <w:rPr>
                <w:rFonts w:ascii="Times New Roman" w:hAnsi="Times New Roman" w:cs="Times New Roman"/>
              </w:rPr>
              <w:t>IC, parameter</w:t>
            </w:r>
          </w:p>
        </w:tc>
        <w:tc>
          <w:tcPr>
            <w:tcW w:w="1710" w:type="dxa"/>
            <w:tcBorders>
              <w:top w:val="nil"/>
              <w:left w:val="nil"/>
              <w:bottom w:val="nil"/>
              <w:right w:val="nil"/>
            </w:tcBorders>
            <w:vAlign w:val="center"/>
          </w:tcPr>
          <w:p w:rsidR="00861E8F" w:rsidRDefault="00861E8F" w:rsidP="00F2073A">
            <w:pPr>
              <w:jc w:val="center"/>
              <w:rPr>
                <w:rFonts w:ascii="Times New Roman" w:hAnsi="Times New Roman" w:cs="Times New Roman"/>
                <w:sz w:val="24"/>
                <w:szCs w:val="24"/>
              </w:rPr>
            </w:pPr>
            <w:r>
              <w:rPr>
                <w:rFonts w:ascii="Times New Roman" w:hAnsi="Times New Roman" w:cs="Times New Roman"/>
                <w:sz w:val="24"/>
                <w:szCs w:val="24"/>
              </w:rPr>
              <w:t>Parameter</w:t>
            </w:r>
          </w:p>
        </w:tc>
      </w:tr>
      <w:tr w:rsidR="00861E8F" w:rsidTr="00F2073A">
        <w:trPr>
          <w:jc w:val="center"/>
        </w:trPr>
        <w:tc>
          <w:tcPr>
            <w:tcW w:w="3055" w:type="dxa"/>
            <w:tcBorders>
              <w:top w:val="nil"/>
              <w:left w:val="nil"/>
              <w:bottom w:val="nil"/>
              <w:right w:val="nil"/>
            </w:tcBorders>
            <w:vAlign w:val="center"/>
          </w:tcPr>
          <w:p w:rsidR="00861E8F" w:rsidRDefault="00861E8F" w:rsidP="00F2073A">
            <w:pPr>
              <w:ind w:right="-720"/>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{"citationItems":[{"id":"ITEM-1","itemData":{"DOI":"10.1002/2017JG004040","ISSN":"21698961","abstract":"The ability to forecast ecological carbon cycling is imperative to land management in a world where past carbon fluxes are no longer a clear guide in the Anthropocene. However, carbon-flux forecasting has not been practiced routinely like numerical weather prediction. This study explored (1) the relative contributions of model forcing data and parameters to uncertainty in forecasting flux- versus pool-based carbon cycle variables and (2) the time points when temperature and CO2 treatments may cause statistically detectable differences in those variables. We developed an online forecasting workflow (Ecological Platform for Assimilation of Data (EcoPAD)), which facilitates iterative data-model integration. EcoPAD automates data transfer from sensor networks, data assimilation, and ecological forecasting. We used the Spruce and Peatland Responses Under Changing Experiments data collected from 2011 to 2014 to constrain the parameters in the Terrestrial Ecosystem Model, forecast carbon cycle responses to elevated CO2 and a gradient of warming from 2015 to 2024, and specify uncertainties in the model output. Our results showed that data assimilation substantially reduces forecasting uncertainties. Interestingly, we found that the stochasticity of future external forcing contributed more to the uncertainty of forecasting future dynamics of C flux-related variables than model parameters. However, the parameter uncertainty primarily contributes to the uncertainty in forecasting C pool-related response variables. Given the uncertainties in forecasting carbon fluxes and pools, our analysis showed that statistically different responses of fast-turnover pools to various CO2 and warming treatments were observed sooner than slow-turnover pools. Our study has identified the sources of uncertainties in model prediction and thus leads to improve ecological carbon cycling forecasts in the future.","author":[{"dropping-particle":"","family":"Jiang","given":"Jiang","non-dropping-particle":"","parse-names":false,"suffix":""},{"dropping-particle":"","family":"Huang","given":"Yuanyuan","non-dropping-particle":"","parse-names":false,"suffix":""},{"dropping-particle":"","family":"Ma","given":"Shuang","non-dropping-particle":"","parse-names":false,"suffix":""},{"dropping-particle":"","family":"Stacy","given":"Mark","non-dropping-particle":"","parse-names":false,"suffix":""},{"dropping-particle":"","family":"Shi","given":"Zheng","non-dropping-particle":"","parse-names":false,"suffix":""},{"dropping-particle":"","family":"Ricciuto","given":"Daniel M.","non-dropping-particle":"","parse-names":false,"suffix":""},{"dropping-particle":"","family":"Hanson","given":"Paul J.","non-dropping-particle":"","parse-names":false,"suffix":""},{"dropping-particle":"","family":"Luo","given":"Yiqi","non-dropping-particle":"","parse-names":false,"suffix":""}],"container-title":"Journal of Geophysical Research: Biogeosciences","id":"ITEM-1","issue":"3","issued":{"date-parts":[["2018"]]},"page":"1057-1071","title":"Forecasting Responses of a Northern Peatland Carbon Cycle to Elevated CO2 and a Gradient of Experimental Warming","type":"article-journal","volume":"123"},"uris":["http://www.mendeley.com/documents/?uuid=deec6b37-3690-44f5-8021-6882f2d5d435"]}],"mendeley":{"formattedCitation":"(Jiang et al. 2018)","plainTextFormattedCitation":"(Jiang et al. 2018)","previouslyFormattedCitation":"(Jiang et al. 2018)"},"properties":{"noteIndex":0},"schema":"https://github.com/citation-style-language/schema/raw/master/csl-citation.json"}</w:instrText>
            </w:r>
            <w:r>
              <w:rPr>
                <w:rFonts w:ascii="Times New Roman" w:hAnsi="Times New Roman" w:cs="Times New Roman"/>
                <w:sz w:val="24"/>
                <w:szCs w:val="24"/>
              </w:rPr>
              <w:fldChar w:fldCharType="separate"/>
            </w:r>
            <w:r w:rsidRPr="002E5E0B">
              <w:rPr>
                <w:rFonts w:ascii="Times New Roman" w:hAnsi="Times New Roman" w:cs="Times New Roman"/>
                <w:noProof/>
                <w:sz w:val="24"/>
                <w:szCs w:val="24"/>
              </w:rPr>
              <w:t>(Jiang et al. 2018)</w:t>
            </w:r>
            <w:r>
              <w:rPr>
                <w:rFonts w:ascii="Times New Roman" w:hAnsi="Times New Roman" w:cs="Times New Roman"/>
                <w:sz w:val="24"/>
                <w:szCs w:val="24"/>
              </w:rPr>
              <w:fldChar w:fldCharType="end"/>
            </w:r>
          </w:p>
        </w:tc>
        <w:tc>
          <w:tcPr>
            <w:tcW w:w="1620" w:type="dxa"/>
            <w:tcBorders>
              <w:top w:val="nil"/>
              <w:left w:val="nil"/>
              <w:bottom w:val="nil"/>
              <w:right w:val="nil"/>
            </w:tcBorders>
            <w:vAlign w:val="center"/>
          </w:tcPr>
          <w:p w:rsidR="00861E8F" w:rsidRDefault="00861E8F" w:rsidP="00F2073A">
            <w:pPr>
              <w:ind w:right="27"/>
              <w:jc w:val="center"/>
              <w:rPr>
                <w:rFonts w:ascii="Times New Roman" w:hAnsi="Times New Roman" w:cs="Times New Roman"/>
                <w:sz w:val="24"/>
                <w:szCs w:val="24"/>
              </w:rPr>
            </w:pPr>
            <w:r>
              <w:rPr>
                <w:rFonts w:ascii="Times New Roman" w:hAnsi="Times New Roman" w:cs="Times New Roman"/>
                <w:sz w:val="24"/>
                <w:szCs w:val="24"/>
              </w:rPr>
              <w:t>Peatland</w:t>
            </w:r>
          </w:p>
        </w:tc>
        <w:tc>
          <w:tcPr>
            <w:tcW w:w="2520" w:type="dxa"/>
            <w:tcBorders>
              <w:top w:val="nil"/>
              <w:left w:val="nil"/>
              <w:bottom w:val="nil"/>
              <w:right w:val="nil"/>
            </w:tcBorders>
            <w:vAlign w:val="center"/>
          </w:tcPr>
          <w:p w:rsidR="00861E8F" w:rsidRDefault="00861E8F" w:rsidP="00F2073A">
            <w:pPr>
              <w:ind w:right="28"/>
              <w:jc w:val="center"/>
              <w:rPr>
                <w:rFonts w:ascii="Times New Roman" w:hAnsi="Times New Roman" w:cs="Times New Roman"/>
                <w:sz w:val="24"/>
                <w:szCs w:val="24"/>
              </w:rPr>
            </w:pPr>
            <w:r>
              <w:rPr>
                <w:rFonts w:ascii="Times New Roman" w:hAnsi="Times New Roman" w:cs="Times New Roman"/>
                <w:sz w:val="24"/>
                <w:szCs w:val="24"/>
              </w:rPr>
              <w:t>Carbon stocks and fluxes</w:t>
            </w:r>
          </w:p>
        </w:tc>
        <w:tc>
          <w:tcPr>
            <w:tcW w:w="1440" w:type="dxa"/>
            <w:tcBorders>
              <w:top w:val="nil"/>
              <w:left w:val="nil"/>
              <w:bottom w:val="nil"/>
              <w:right w:val="nil"/>
            </w:tcBorders>
            <w:vAlign w:val="center"/>
          </w:tcPr>
          <w:p w:rsidR="00861E8F" w:rsidRDefault="00861E8F" w:rsidP="00F2073A">
            <w:pPr>
              <w:ind w:right="14"/>
              <w:jc w:val="center"/>
              <w:rPr>
                <w:rFonts w:ascii="Times New Roman" w:hAnsi="Times New Roman" w:cs="Times New Roman"/>
                <w:sz w:val="24"/>
                <w:szCs w:val="24"/>
              </w:rPr>
            </w:pPr>
            <w:r>
              <w:rPr>
                <w:rFonts w:ascii="Times New Roman" w:hAnsi="Times New Roman" w:cs="Times New Roman"/>
                <w:sz w:val="24"/>
                <w:szCs w:val="24"/>
              </w:rPr>
              <w:t>Decadal</w:t>
            </w:r>
          </w:p>
        </w:tc>
        <w:tc>
          <w:tcPr>
            <w:tcW w:w="2970" w:type="dxa"/>
            <w:tcBorders>
              <w:top w:val="nil"/>
              <w:left w:val="nil"/>
              <w:bottom w:val="nil"/>
              <w:right w:val="nil"/>
            </w:tcBorders>
            <w:vAlign w:val="center"/>
          </w:tcPr>
          <w:p w:rsidR="00861E8F" w:rsidRPr="00656C21" w:rsidRDefault="00861E8F" w:rsidP="00F2073A">
            <w:pPr>
              <w:jc w:val="center"/>
              <w:rPr>
                <w:rFonts w:ascii="Times New Roman" w:hAnsi="Times New Roman" w:cs="Times New Roman"/>
                <w:sz w:val="24"/>
                <w:szCs w:val="24"/>
              </w:rPr>
            </w:pPr>
            <w:r w:rsidRPr="00656C21">
              <w:rPr>
                <w:rFonts w:ascii="Times New Roman" w:hAnsi="Times New Roman" w:cs="Times New Roman"/>
                <w:sz w:val="24"/>
                <w:szCs w:val="24"/>
              </w:rPr>
              <w:t>Process-based</w:t>
            </w:r>
          </w:p>
        </w:tc>
        <w:tc>
          <w:tcPr>
            <w:tcW w:w="1530" w:type="dxa"/>
            <w:tcBorders>
              <w:top w:val="nil"/>
              <w:left w:val="nil"/>
              <w:bottom w:val="nil"/>
              <w:right w:val="nil"/>
            </w:tcBorders>
            <w:vAlign w:val="center"/>
          </w:tcPr>
          <w:p w:rsidR="00861E8F" w:rsidRDefault="00861E8F" w:rsidP="00F2073A">
            <w:pPr>
              <w:jc w:val="center"/>
              <w:rPr>
                <w:rFonts w:ascii="Times New Roman" w:hAnsi="Times New Roman" w:cs="Times New Roman"/>
              </w:rPr>
            </w:pPr>
            <w:r w:rsidRPr="00DD701B">
              <w:rPr>
                <w:rFonts w:ascii="Times New Roman" w:hAnsi="Times New Roman" w:cs="Times New Roman"/>
              </w:rPr>
              <w:t>Driver, parameter</w:t>
            </w:r>
          </w:p>
          <w:p w:rsidR="00861E8F" w:rsidRPr="00DD701B" w:rsidRDefault="00861E8F" w:rsidP="00F2073A">
            <w:pPr>
              <w:jc w:val="center"/>
              <w:rPr>
                <w:rFonts w:ascii="Times New Roman" w:hAnsi="Times New Roman" w:cs="Times New Roman"/>
              </w:rPr>
            </w:pPr>
          </w:p>
        </w:tc>
        <w:tc>
          <w:tcPr>
            <w:tcW w:w="1710" w:type="dxa"/>
            <w:tcBorders>
              <w:top w:val="nil"/>
              <w:left w:val="nil"/>
              <w:bottom w:val="nil"/>
              <w:right w:val="nil"/>
            </w:tcBorders>
            <w:vAlign w:val="center"/>
          </w:tcPr>
          <w:p w:rsidR="00861E8F" w:rsidRDefault="00861E8F" w:rsidP="00F2073A">
            <w:pPr>
              <w:jc w:val="center"/>
              <w:rPr>
                <w:rFonts w:ascii="Times New Roman" w:hAnsi="Times New Roman" w:cs="Times New Roman"/>
                <w:sz w:val="24"/>
                <w:szCs w:val="24"/>
              </w:rPr>
            </w:pPr>
            <w:r>
              <w:rPr>
                <w:rFonts w:ascii="Times New Roman" w:hAnsi="Times New Roman" w:cs="Times New Roman"/>
                <w:sz w:val="24"/>
                <w:szCs w:val="24"/>
              </w:rPr>
              <w:t xml:space="preserve">Driver </w:t>
            </w:r>
          </w:p>
        </w:tc>
      </w:tr>
      <w:tr w:rsidR="00861E8F" w:rsidTr="00F2073A">
        <w:trPr>
          <w:jc w:val="center"/>
        </w:trPr>
        <w:tc>
          <w:tcPr>
            <w:tcW w:w="3055" w:type="dxa"/>
            <w:tcBorders>
              <w:top w:val="nil"/>
              <w:left w:val="nil"/>
              <w:bottom w:val="nil"/>
              <w:right w:val="nil"/>
            </w:tcBorders>
            <w:vAlign w:val="center"/>
          </w:tcPr>
          <w:p w:rsidR="00861E8F" w:rsidRDefault="00861E8F" w:rsidP="00F2073A">
            <w:pPr>
              <w:ind w:right="-720"/>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{"citationItems":[{"id":"ITEM-1","itemData":{"DOI":"10.1016/j.jhydrol.2014.09.073","ISSN":"00221694","abstract":"A simulation framework of algal bloom in a river channel with data assimilation (DA) was developed by employing two numerical models coupled to simulate a watershed and the embedded river channel. The Hydrological Simulation Program-Fortran (HSPF) model simulates flow discharge and water quality from the subwatersheds and the Environmental Fluid Dynamics Code (EFDC) model takes the subwatershed model outputs at the watershed-river confluence points as boundary forcing to simulate river hydrodynamics and water quality. The ensemble Kalman filter (EnKF) was used for assimilation of water quality variables in the framework, linking uncertainty of model simulation and observation. The simulation uncertainty of the HSPF was quantified at the confluence points as simple stochastic error models developed by comparing the model simulation and the observation. The error models reflect uncertainty of both hydrologic and water quality simulation, including uncertainty associated with point and non-point pollution sources in the watershed. The outputs of the HSPF at the confluence points were perturbed with the error models before used in the following ensemble simulation of the EFDC for the main river. DA was conducted with weekly chlorophyll- a data observed along the river to update chlorophyll- a concentrations of the EFDC model grids. The results showed that the model performance was improved by the assimilation: the root mean square error (RMSE) and the mean continuous probability rank score (CPRS) significantly decreased compared to the open-loop simulation. The updated spatial distribution of chlorophyll- a concentration along the river channel was in reasonable agreement with the observation. Although only chlorophyll- a data was involved in the assimilation, phosphate was selected among other water quality variables for update in order to evaluate the effect of chlorophyll- a assimilation on those variables. It turned out that the phosphate simulation was not much improved by the chlorophyll- a data, which was due to weak correlation between the two variables in the model ensemble. Lastly, chlorophyll-a simulation uncertainty in the river attributed to the simulation uncertainty of each variable in the watershed was evaluated. For that, two additional simulations were made, with perturbation only to flow and phosphate respectively at the confluence points. The spread of chlorophyll- a ensemble of each case became significantly narrower than the original c…","author":[{"dropping-particle":"","family":"Kim","given":"Kyunghyun","non-dropping-particle":"","parse-names":false,"suffix":""},{"dropping-particle":"","family":"Park","given":"Minji","non-dropping-particle":"","parse-names":false,"suffix":""},{"dropping-particle":"","family":"Min","given":"Joong Hyuk","non-dropping-particle":"","parse-names":false,"suffix":""},{"dropping-particle":"","family":"Ryu","given":"Ingu","non-dropping-particle":"","parse-names":false,"suffix":""},{"dropping-particle":"","family":"Kang","given":"Mi Ri","non-dropping-particle":"","parse-names":false,"suffix":""},{"dropping-particle":"","family":"Park","given":"Lan Joo","non-dropping-particle":"","parse-names":false,"suffix":""}],"container-title":"Journal of Hydrology","id":"ITEM-1","issue":"PD","issued":{"date-parts":[["2014"]]},"page":"2810-2821","publisher":"Elsevier B.V.","title":"Simulation of algal bloom dynamics in a river with the ensemble Kalman filter","type":"article-journal","volume":"519"},"uris":["http://www.mendeley.com/documents/?uuid=b89688be-0e29-4275-bc21-5f77917c306e"]}],"mendeley":{"formattedCitation":"(Kim et al. 2014)","plainTextFormattedCitation":"(Kim et al. 2014)","previouslyFormattedCitation":"(Kim et al. 2014)"},"properties":{"noteIndex":0},"schema":"https://github.com/citation-style-language/schema/raw/master/csl-citation.json"}</w:instrText>
            </w:r>
            <w:r>
              <w:rPr>
                <w:rFonts w:ascii="Times New Roman" w:hAnsi="Times New Roman" w:cs="Times New Roman"/>
                <w:sz w:val="24"/>
                <w:szCs w:val="24"/>
              </w:rPr>
              <w:fldChar w:fldCharType="separate"/>
            </w:r>
            <w:r w:rsidRPr="002E5E0B">
              <w:rPr>
                <w:rFonts w:ascii="Times New Roman" w:hAnsi="Times New Roman" w:cs="Times New Roman"/>
                <w:noProof/>
                <w:sz w:val="24"/>
                <w:szCs w:val="24"/>
              </w:rPr>
              <w:t>(Kim et al. 2014)</w:t>
            </w:r>
            <w:r>
              <w:rPr>
                <w:rFonts w:ascii="Times New Roman" w:hAnsi="Times New Roman" w:cs="Times New Roman"/>
                <w:sz w:val="24"/>
                <w:szCs w:val="24"/>
              </w:rPr>
              <w:fldChar w:fldCharType="end"/>
            </w:r>
          </w:p>
        </w:tc>
        <w:tc>
          <w:tcPr>
            <w:tcW w:w="1620" w:type="dxa"/>
            <w:tcBorders>
              <w:top w:val="nil"/>
              <w:left w:val="nil"/>
              <w:bottom w:val="nil"/>
              <w:right w:val="nil"/>
            </w:tcBorders>
            <w:vAlign w:val="center"/>
          </w:tcPr>
          <w:p w:rsidR="00861E8F" w:rsidRDefault="00861E8F" w:rsidP="00F2073A">
            <w:pPr>
              <w:ind w:right="27"/>
              <w:jc w:val="center"/>
              <w:rPr>
                <w:rFonts w:ascii="Times New Roman" w:hAnsi="Times New Roman" w:cs="Times New Roman"/>
                <w:sz w:val="24"/>
                <w:szCs w:val="24"/>
              </w:rPr>
            </w:pPr>
            <w:r>
              <w:rPr>
                <w:rFonts w:ascii="Times New Roman" w:hAnsi="Times New Roman" w:cs="Times New Roman"/>
                <w:sz w:val="24"/>
                <w:szCs w:val="24"/>
              </w:rPr>
              <w:t>River</w:t>
            </w:r>
          </w:p>
        </w:tc>
        <w:tc>
          <w:tcPr>
            <w:tcW w:w="2520" w:type="dxa"/>
            <w:tcBorders>
              <w:top w:val="nil"/>
              <w:left w:val="nil"/>
              <w:bottom w:val="nil"/>
              <w:right w:val="nil"/>
            </w:tcBorders>
            <w:vAlign w:val="center"/>
          </w:tcPr>
          <w:p w:rsidR="00861E8F" w:rsidRDefault="00861E8F" w:rsidP="00F2073A">
            <w:pPr>
              <w:ind w:right="28"/>
              <w:jc w:val="center"/>
              <w:rPr>
                <w:rFonts w:ascii="Times New Roman" w:hAnsi="Times New Roman" w:cs="Times New Roman"/>
                <w:sz w:val="24"/>
                <w:szCs w:val="24"/>
              </w:rPr>
            </w:pPr>
            <w:r>
              <w:rPr>
                <w:rFonts w:ascii="Times New Roman" w:hAnsi="Times New Roman" w:cs="Times New Roman"/>
                <w:sz w:val="24"/>
                <w:szCs w:val="24"/>
              </w:rPr>
              <w:t>Chlorophyll</w:t>
            </w:r>
          </w:p>
        </w:tc>
        <w:tc>
          <w:tcPr>
            <w:tcW w:w="1440" w:type="dxa"/>
            <w:tcBorders>
              <w:top w:val="nil"/>
              <w:left w:val="nil"/>
              <w:bottom w:val="nil"/>
              <w:right w:val="nil"/>
            </w:tcBorders>
            <w:vAlign w:val="center"/>
          </w:tcPr>
          <w:p w:rsidR="00861E8F" w:rsidRDefault="00861E8F" w:rsidP="00F2073A">
            <w:pPr>
              <w:ind w:right="14"/>
              <w:jc w:val="center"/>
              <w:rPr>
                <w:rFonts w:ascii="Times New Roman" w:hAnsi="Times New Roman" w:cs="Times New Roman"/>
                <w:sz w:val="24"/>
                <w:szCs w:val="24"/>
              </w:rPr>
            </w:pPr>
            <w:r>
              <w:rPr>
                <w:rFonts w:ascii="Times New Roman" w:hAnsi="Times New Roman" w:cs="Times New Roman"/>
                <w:sz w:val="24"/>
                <w:szCs w:val="24"/>
              </w:rPr>
              <w:t>Spatial</w:t>
            </w:r>
          </w:p>
        </w:tc>
        <w:tc>
          <w:tcPr>
            <w:tcW w:w="2970" w:type="dxa"/>
            <w:tcBorders>
              <w:top w:val="nil"/>
              <w:left w:val="nil"/>
              <w:bottom w:val="nil"/>
              <w:right w:val="nil"/>
            </w:tcBorders>
            <w:vAlign w:val="center"/>
          </w:tcPr>
          <w:p w:rsidR="00861E8F" w:rsidRPr="00656C21" w:rsidRDefault="00861E8F" w:rsidP="00F2073A">
            <w:pPr>
              <w:jc w:val="center"/>
              <w:rPr>
                <w:rFonts w:ascii="Times New Roman" w:hAnsi="Times New Roman" w:cs="Times New Roman"/>
                <w:sz w:val="24"/>
                <w:szCs w:val="24"/>
              </w:rPr>
            </w:pPr>
            <w:r w:rsidRPr="00656C21">
              <w:rPr>
                <w:rFonts w:ascii="Times New Roman" w:hAnsi="Times New Roman" w:cs="Times New Roman"/>
                <w:sz w:val="24"/>
                <w:szCs w:val="24"/>
              </w:rPr>
              <w:t>Process-based</w:t>
            </w:r>
          </w:p>
        </w:tc>
        <w:tc>
          <w:tcPr>
            <w:tcW w:w="1530" w:type="dxa"/>
            <w:tcBorders>
              <w:top w:val="nil"/>
              <w:left w:val="nil"/>
              <w:bottom w:val="nil"/>
              <w:right w:val="nil"/>
            </w:tcBorders>
            <w:vAlign w:val="center"/>
          </w:tcPr>
          <w:p w:rsidR="00861E8F" w:rsidRDefault="00861E8F" w:rsidP="00F2073A">
            <w:pPr>
              <w:jc w:val="center"/>
              <w:rPr>
                <w:rFonts w:ascii="Times New Roman" w:hAnsi="Times New Roman" w:cs="Times New Roman"/>
              </w:rPr>
            </w:pPr>
            <w:r w:rsidRPr="00DD701B">
              <w:rPr>
                <w:rFonts w:ascii="Times New Roman" w:hAnsi="Times New Roman" w:cs="Times New Roman"/>
              </w:rPr>
              <w:t>Driver (different sources)</w:t>
            </w:r>
          </w:p>
          <w:p w:rsidR="00861E8F" w:rsidRPr="00DD701B" w:rsidRDefault="00861E8F" w:rsidP="00F2073A">
            <w:pPr>
              <w:jc w:val="center"/>
              <w:rPr>
                <w:rFonts w:ascii="Times New Roman" w:hAnsi="Times New Roman" w:cs="Times New Roman"/>
              </w:rPr>
            </w:pPr>
          </w:p>
        </w:tc>
        <w:tc>
          <w:tcPr>
            <w:tcW w:w="1710" w:type="dxa"/>
            <w:tcBorders>
              <w:top w:val="nil"/>
              <w:left w:val="nil"/>
              <w:bottom w:val="nil"/>
              <w:right w:val="nil"/>
            </w:tcBorders>
            <w:vAlign w:val="center"/>
          </w:tcPr>
          <w:p w:rsidR="00861E8F" w:rsidRDefault="00861E8F" w:rsidP="00F2073A">
            <w:pPr>
              <w:jc w:val="center"/>
              <w:rPr>
                <w:rFonts w:ascii="Times New Roman" w:hAnsi="Times New Roman" w:cs="Times New Roman"/>
                <w:sz w:val="24"/>
                <w:szCs w:val="24"/>
              </w:rPr>
            </w:pPr>
            <w:r>
              <w:rPr>
                <w:rFonts w:ascii="Times New Roman" w:hAnsi="Times New Roman" w:cs="Times New Roman"/>
                <w:sz w:val="24"/>
                <w:szCs w:val="24"/>
              </w:rPr>
              <w:t>Driver (river flow)</w:t>
            </w:r>
          </w:p>
        </w:tc>
      </w:tr>
      <w:tr w:rsidR="00861E8F" w:rsidTr="00F2073A">
        <w:trPr>
          <w:jc w:val="center"/>
        </w:trPr>
        <w:tc>
          <w:tcPr>
            <w:tcW w:w="3055" w:type="dxa"/>
            <w:tcBorders>
              <w:top w:val="nil"/>
              <w:left w:val="nil"/>
              <w:bottom w:val="nil"/>
              <w:right w:val="nil"/>
            </w:tcBorders>
            <w:vAlign w:val="center"/>
          </w:tcPr>
          <w:p w:rsidR="00861E8F" w:rsidRDefault="00861E8F" w:rsidP="00F2073A">
            <w:pPr>
              <w:ind w:right="-720"/>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{"citationItems":[{"id":"ITEM-1","itemData":{"DOI":"10.1111/j.1365-2664.2010.01830.x","author":[{"dropping-particle":"","family":"Mbogga","given":"Michael S","non-dropping-particle":"","parse-names":false,"suffix":""},{"dropping-particle":"","family":"Wang","given":"Xianli","non-dropping-particle":"","parse-names":false,"suffix":""},{"dropping-particle":"","family":"Hamann","given":"Andreas","non-dropping-particle":"","parse-names":false,"suffix":""}],"container-title":"Journal of Applied Ecology","id":"ITEM-1","issued":{"date-parts":[["2010"]]},"page":"731-740","title":"Bioclimate envelope model predictions for natural resource management : dealing with uncertainty","type":"article-journal","volume":"47"},"uris":["http://www.mendeley.com/documents/?uuid=88b06036-caef-4b42-957a-7a5040b4d3c9"]}],"mendeley":{"formattedCitation":"(Mbogga et al. 2010)","plainTextFormattedCitation":"(Mbogga et al. 2010)","previouslyFormattedCitation":"(Mbogga et al. 2010)"},"properties":{"noteIndex":0},"schema":"https://github.com/citation-style-language/schema/raw/master/csl-citation.json"}</w:instrText>
            </w:r>
            <w:r>
              <w:rPr>
                <w:rFonts w:ascii="Times New Roman" w:hAnsi="Times New Roman" w:cs="Times New Roman"/>
                <w:sz w:val="24"/>
                <w:szCs w:val="24"/>
              </w:rPr>
              <w:fldChar w:fldCharType="separate"/>
            </w:r>
            <w:r w:rsidRPr="002E5E0B">
              <w:rPr>
                <w:rFonts w:ascii="Times New Roman" w:hAnsi="Times New Roman" w:cs="Times New Roman"/>
                <w:noProof/>
                <w:sz w:val="24"/>
                <w:szCs w:val="24"/>
              </w:rPr>
              <w:t>(Mbogga et al. 2010)</w:t>
            </w:r>
            <w:r>
              <w:rPr>
                <w:rFonts w:ascii="Times New Roman" w:hAnsi="Times New Roman" w:cs="Times New Roman"/>
                <w:sz w:val="24"/>
                <w:szCs w:val="24"/>
              </w:rPr>
              <w:fldChar w:fldCharType="end"/>
            </w:r>
          </w:p>
        </w:tc>
        <w:tc>
          <w:tcPr>
            <w:tcW w:w="1620" w:type="dxa"/>
            <w:tcBorders>
              <w:top w:val="nil"/>
              <w:left w:val="nil"/>
              <w:bottom w:val="nil"/>
              <w:right w:val="nil"/>
            </w:tcBorders>
            <w:vAlign w:val="center"/>
          </w:tcPr>
          <w:p w:rsidR="00861E8F" w:rsidRDefault="00861E8F" w:rsidP="00F2073A">
            <w:pPr>
              <w:ind w:right="27"/>
              <w:jc w:val="center"/>
              <w:rPr>
                <w:rFonts w:ascii="Times New Roman" w:hAnsi="Times New Roman" w:cs="Times New Roman"/>
                <w:sz w:val="24"/>
                <w:szCs w:val="24"/>
              </w:rPr>
            </w:pPr>
            <w:r>
              <w:rPr>
                <w:rFonts w:ascii="Times New Roman" w:hAnsi="Times New Roman" w:cs="Times New Roman"/>
                <w:sz w:val="24"/>
                <w:szCs w:val="24"/>
              </w:rPr>
              <w:t>Forest</w:t>
            </w:r>
          </w:p>
        </w:tc>
        <w:tc>
          <w:tcPr>
            <w:tcW w:w="2520" w:type="dxa"/>
            <w:tcBorders>
              <w:top w:val="nil"/>
              <w:left w:val="nil"/>
              <w:bottom w:val="nil"/>
              <w:right w:val="nil"/>
            </w:tcBorders>
            <w:vAlign w:val="center"/>
          </w:tcPr>
          <w:p w:rsidR="00861E8F" w:rsidRDefault="00861E8F" w:rsidP="00F2073A">
            <w:pPr>
              <w:ind w:right="28"/>
              <w:jc w:val="center"/>
              <w:rPr>
                <w:rFonts w:ascii="Times New Roman" w:hAnsi="Times New Roman" w:cs="Times New Roman"/>
                <w:sz w:val="24"/>
                <w:szCs w:val="24"/>
              </w:rPr>
            </w:pPr>
            <w:r>
              <w:rPr>
                <w:rFonts w:ascii="Times New Roman" w:hAnsi="Times New Roman" w:cs="Times New Roman"/>
                <w:sz w:val="24"/>
                <w:szCs w:val="24"/>
              </w:rPr>
              <w:t>Aspen habitat</w:t>
            </w:r>
          </w:p>
        </w:tc>
        <w:tc>
          <w:tcPr>
            <w:tcW w:w="1440" w:type="dxa"/>
            <w:tcBorders>
              <w:top w:val="nil"/>
              <w:left w:val="nil"/>
              <w:bottom w:val="nil"/>
              <w:right w:val="nil"/>
            </w:tcBorders>
            <w:vAlign w:val="center"/>
          </w:tcPr>
          <w:p w:rsidR="00861E8F" w:rsidRDefault="00861E8F" w:rsidP="00F2073A">
            <w:pPr>
              <w:ind w:right="14"/>
              <w:jc w:val="center"/>
              <w:rPr>
                <w:rFonts w:ascii="Times New Roman" w:hAnsi="Times New Roman" w:cs="Times New Roman"/>
                <w:sz w:val="24"/>
                <w:szCs w:val="24"/>
              </w:rPr>
            </w:pPr>
            <w:r>
              <w:rPr>
                <w:rFonts w:ascii="Times New Roman" w:hAnsi="Times New Roman" w:cs="Times New Roman"/>
                <w:sz w:val="24"/>
                <w:szCs w:val="24"/>
              </w:rPr>
              <w:t>Multi- decadal</w:t>
            </w:r>
          </w:p>
        </w:tc>
        <w:tc>
          <w:tcPr>
            <w:tcW w:w="2970" w:type="dxa"/>
            <w:tcBorders>
              <w:top w:val="nil"/>
              <w:left w:val="nil"/>
              <w:bottom w:val="nil"/>
              <w:right w:val="nil"/>
            </w:tcBorders>
            <w:vAlign w:val="center"/>
          </w:tcPr>
          <w:p w:rsidR="00861E8F" w:rsidRPr="00656C21" w:rsidRDefault="00861E8F" w:rsidP="00F2073A">
            <w:pPr>
              <w:jc w:val="center"/>
              <w:rPr>
                <w:rFonts w:ascii="Times New Roman" w:hAnsi="Times New Roman" w:cs="Times New Roman"/>
                <w:sz w:val="24"/>
                <w:szCs w:val="24"/>
              </w:rPr>
            </w:pPr>
            <w:proofErr w:type="spellStart"/>
            <w:r w:rsidRPr="00656C21">
              <w:rPr>
                <w:rFonts w:ascii="Times New Roman" w:hAnsi="Times New Roman" w:cs="Times New Roman"/>
                <w:sz w:val="24"/>
                <w:szCs w:val="24"/>
              </w:rPr>
              <w:t>Bioclimate</w:t>
            </w:r>
            <w:proofErr w:type="spellEnd"/>
            <w:r w:rsidRPr="00656C21">
              <w:rPr>
                <w:rFonts w:ascii="Times New Roman" w:hAnsi="Times New Roman" w:cs="Times New Roman"/>
                <w:sz w:val="24"/>
                <w:szCs w:val="24"/>
              </w:rPr>
              <w:t xml:space="preserve"> envelope model</w:t>
            </w:r>
          </w:p>
        </w:tc>
        <w:tc>
          <w:tcPr>
            <w:tcW w:w="1530" w:type="dxa"/>
            <w:tcBorders>
              <w:top w:val="nil"/>
              <w:left w:val="nil"/>
              <w:bottom w:val="nil"/>
              <w:right w:val="nil"/>
            </w:tcBorders>
            <w:vAlign w:val="center"/>
          </w:tcPr>
          <w:p w:rsidR="00861E8F" w:rsidRPr="00DD701B" w:rsidRDefault="00861E8F" w:rsidP="00F2073A">
            <w:pPr>
              <w:jc w:val="center"/>
              <w:rPr>
                <w:rFonts w:ascii="Times New Roman" w:hAnsi="Times New Roman" w:cs="Times New Roman"/>
              </w:rPr>
            </w:pPr>
            <w:r w:rsidRPr="00DD701B">
              <w:rPr>
                <w:rFonts w:ascii="Times New Roman" w:hAnsi="Times New Roman" w:cs="Times New Roman"/>
              </w:rPr>
              <w:t>Driver, process</w:t>
            </w:r>
          </w:p>
        </w:tc>
        <w:tc>
          <w:tcPr>
            <w:tcW w:w="1710" w:type="dxa"/>
            <w:tcBorders>
              <w:top w:val="nil"/>
              <w:left w:val="nil"/>
              <w:bottom w:val="nil"/>
              <w:right w:val="nil"/>
            </w:tcBorders>
            <w:vAlign w:val="center"/>
          </w:tcPr>
          <w:p w:rsidR="00861E8F" w:rsidRDefault="00861E8F" w:rsidP="00F2073A">
            <w:pPr>
              <w:jc w:val="center"/>
              <w:rPr>
                <w:rFonts w:ascii="Times New Roman" w:hAnsi="Times New Roman" w:cs="Times New Roman"/>
                <w:sz w:val="24"/>
                <w:szCs w:val="24"/>
              </w:rPr>
            </w:pPr>
            <w:r>
              <w:rPr>
                <w:rFonts w:ascii="Times New Roman" w:hAnsi="Times New Roman" w:cs="Times New Roman"/>
                <w:sz w:val="24"/>
                <w:szCs w:val="24"/>
              </w:rPr>
              <w:t>Driver</w:t>
            </w:r>
          </w:p>
        </w:tc>
      </w:tr>
      <w:tr w:rsidR="00861E8F" w:rsidTr="00F2073A">
        <w:trPr>
          <w:trHeight w:val="999"/>
          <w:jc w:val="center"/>
        </w:trPr>
        <w:tc>
          <w:tcPr>
            <w:tcW w:w="3055" w:type="dxa"/>
            <w:tcBorders>
              <w:top w:val="nil"/>
              <w:left w:val="nil"/>
              <w:bottom w:val="nil"/>
              <w:right w:val="nil"/>
            </w:tcBorders>
            <w:vAlign w:val="center"/>
          </w:tcPr>
          <w:p w:rsidR="00861E8F" w:rsidRDefault="00861E8F" w:rsidP="00F2073A">
            <w:pPr>
              <w:ind w:right="-720"/>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{"citationItems":[{"id":"ITEM-1","itemData":{"DOI":"10.1016/j.jhydrol.2017.09.027","ISSN":"00221694","abstract":"Recent work demonstrated the value of water temperature forecasts to improve water resources allocation and highlighted the importance of quantifying their uncertainty adequately. In this study, we perform a multisite cascading ensemble assimilation of discharge and water temperature on the Nechako River (Canada) using particle filters. Hydrological and thermal initial conditions were provided to a rainfall-runoff model, coupled to a thermal module, using ensemble meteorological forecasts as inputs to produce 5 day ensemble thermal forecasts. Results show good performances of the particle filters with improvements of the accuracy of initial conditions by more than 65% compared to simulations without data assimilation for both the hydrological and the thermal component. All thermal forecasts returned continuous ranked probability scores under 0.8 °C when using a set of 40 initial conditions and meteorological forecasts comprising 20 members. A greater contribution of the initial conditions to the total uncertainty of the system for 1-dayforecasts is observed (mean ensemble spread = 1.1 °C) compared to meteorological forcings (mean ensemble spread = 0.6 °C). The inclusion of meteorological uncertainty is critical to maintain reliable forecasts and proper ensemble spread for lead times of 2 days and more. This work demonstrates the ability of the particle filters to properly update the initial conditions of a coupled hydrological and thermal model and offers insights regarding the contribution of two major sources of uncertainty to the overall uncertainty in thermal forecasts.","author":[{"dropping-particle":"","family":"Ouellet-Proulx","given":"Sébastien","non-dropping-particle":"","parse-names":false,"suffix":""},{"dropping-particle":"","family":"Chimi Chiadjeu","given":"Olivier","non-dropping-particle":"","parse-names":false,"suffix":""},{"dropping-particle":"","family":"Boucher","given":"Marie Amélie","non-dropping-particle":"","parse-names":false,"suffix":""},{"dropping-particle":"","family":"St-Hilaire","given":"André","non-dropping-particle":"","parse-names":false,"suffix":""}],"container-title":"Journal of Hydrology","id":"ITEM-1","issued":{"date-parts":[["2017"]]},"page":"342-359","title":"Assimilation of water temperature and discharge data for ensemble water temperature forecasting","type":"article-journal","volume":"554"},"uris":["http://www.mendeley.com/documents/?uuid=61fadff2-2582-4a38-81c2-a90b0ffd9400"]}],"mendeley":{"formattedCitation":"(Ouellet-Proulx et al. 2017)","plainTextFormattedCitation":"(Ouellet-Proulx et al. 2017)","previouslyFormattedCitation":"(Ouellet-Proulx et al. 2017)"},"properties":{"noteIndex":0},"schema":"https://github.com/citation-style-language/schema/raw/master/csl-citation.json"}</w:instrText>
            </w:r>
            <w:r>
              <w:rPr>
                <w:rFonts w:ascii="Times New Roman" w:hAnsi="Times New Roman" w:cs="Times New Roman"/>
                <w:sz w:val="24"/>
                <w:szCs w:val="24"/>
              </w:rPr>
              <w:fldChar w:fldCharType="separate"/>
            </w:r>
            <w:r w:rsidRPr="002E5E0B">
              <w:rPr>
                <w:rFonts w:ascii="Times New Roman" w:hAnsi="Times New Roman" w:cs="Times New Roman"/>
                <w:noProof/>
                <w:sz w:val="24"/>
                <w:szCs w:val="24"/>
              </w:rPr>
              <w:t>(Ouellet-Proulx et al. 2017)</w:t>
            </w:r>
            <w:r>
              <w:rPr>
                <w:rFonts w:ascii="Times New Roman" w:hAnsi="Times New Roman" w:cs="Times New Roman"/>
                <w:sz w:val="24"/>
                <w:szCs w:val="24"/>
              </w:rPr>
              <w:fldChar w:fldCharType="end"/>
            </w:r>
          </w:p>
        </w:tc>
        <w:tc>
          <w:tcPr>
            <w:tcW w:w="1620" w:type="dxa"/>
            <w:tcBorders>
              <w:top w:val="nil"/>
              <w:left w:val="nil"/>
              <w:bottom w:val="nil"/>
              <w:right w:val="nil"/>
            </w:tcBorders>
            <w:vAlign w:val="center"/>
          </w:tcPr>
          <w:p w:rsidR="00861E8F" w:rsidRDefault="00861E8F" w:rsidP="00F2073A">
            <w:pPr>
              <w:ind w:right="27"/>
              <w:jc w:val="center"/>
              <w:rPr>
                <w:rFonts w:ascii="Times New Roman" w:hAnsi="Times New Roman" w:cs="Times New Roman"/>
                <w:sz w:val="24"/>
                <w:szCs w:val="24"/>
              </w:rPr>
            </w:pPr>
            <w:r>
              <w:rPr>
                <w:rFonts w:ascii="Times New Roman" w:hAnsi="Times New Roman" w:cs="Times New Roman"/>
                <w:sz w:val="24"/>
                <w:szCs w:val="24"/>
              </w:rPr>
              <w:t>River</w:t>
            </w:r>
          </w:p>
        </w:tc>
        <w:tc>
          <w:tcPr>
            <w:tcW w:w="2520" w:type="dxa"/>
            <w:tcBorders>
              <w:top w:val="nil"/>
              <w:left w:val="nil"/>
              <w:bottom w:val="nil"/>
              <w:right w:val="nil"/>
            </w:tcBorders>
            <w:vAlign w:val="center"/>
          </w:tcPr>
          <w:p w:rsidR="00861E8F" w:rsidRDefault="00861E8F" w:rsidP="00F2073A">
            <w:pPr>
              <w:ind w:right="28"/>
              <w:jc w:val="center"/>
              <w:rPr>
                <w:rFonts w:ascii="Times New Roman" w:hAnsi="Times New Roman" w:cs="Times New Roman"/>
                <w:sz w:val="24"/>
                <w:szCs w:val="24"/>
              </w:rPr>
            </w:pPr>
            <w:r>
              <w:rPr>
                <w:rFonts w:ascii="Times New Roman" w:hAnsi="Times New Roman" w:cs="Times New Roman"/>
                <w:sz w:val="24"/>
                <w:szCs w:val="24"/>
              </w:rPr>
              <w:t>Water temperature and discharge</w:t>
            </w:r>
          </w:p>
        </w:tc>
        <w:tc>
          <w:tcPr>
            <w:tcW w:w="1440" w:type="dxa"/>
            <w:tcBorders>
              <w:top w:val="nil"/>
              <w:left w:val="nil"/>
              <w:bottom w:val="nil"/>
              <w:right w:val="nil"/>
            </w:tcBorders>
            <w:vAlign w:val="center"/>
          </w:tcPr>
          <w:p w:rsidR="00861E8F" w:rsidRDefault="00861E8F" w:rsidP="00F2073A">
            <w:pPr>
              <w:ind w:right="14"/>
              <w:jc w:val="center"/>
              <w:rPr>
                <w:rFonts w:ascii="Times New Roman" w:hAnsi="Times New Roman" w:cs="Times New Roman"/>
                <w:sz w:val="24"/>
                <w:szCs w:val="24"/>
              </w:rPr>
            </w:pPr>
            <w:r>
              <w:rPr>
                <w:rFonts w:ascii="Times New Roman" w:hAnsi="Times New Roman" w:cs="Times New Roman"/>
                <w:sz w:val="24"/>
                <w:szCs w:val="24"/>
              </w:rPr>
              <w:t>Daily</w:t>
            </w:r>
          </w:p>
        </w:tc>
        <w:tc>
          <w:tcPr>
            <w:tcW w:w="2970" w:type="dxa"/>
            <w:tcBorders>
              <w:top w:val="nil"/>
              <w:left w:val="nil"/>
              <w:bottom w:val="nil"/>
              <w:right w:val="nil"/>
            </w:tcBorders>
            <w:vAlign w:val="center"/>
          </w:tcPr>
          <w:p w:rsidR="00861E8F" w:rsidRPr="00656C21" w:rsidRDefault="00861E8F" w:rsidP="00F2073A">
            <w:pPr>
              <w:jc w:val="center"/>
              <w:rPr>
                <w:rFonts w:ascii="Times New Roman" w:hAnsi="Times New Roman" w:cs="Times New Roman"/>
                <w:sz w:val="24"/>
                <w:szCs w:val="24"/>
              </w:rPr>
            </w:pPr>
            <w:r w:rsidRPr="00656C21">
              <w:rPr>
                <w:rFonts w:ascii="Times New Roman" w:hAnsi="Times New Roman" w:cs="Times New Roman"/>
                <w:sz w:val="24"/>
                <w:szCs w:val="24"/>
              </w:rPr>
              <w:t>Process-based</w:t>
            </w:r>
          </w:p>
        </w:tc>
        <w:tc>
          <w:tcPr>
            <w:tcW w:w="1530" w:type="dxa"/>
            <w:tcBorders>
              <w:top w:val="nil"/>
              <w:left w:val="nil"/>
              <w:bottom w:val="nil"/>
              <w:right w:val="nil"/>
            </w:tcBorders>
            <w:vAlign w:val="center"/>
          </w:tcPr>
          <w:p w:rsidR="00861E8F" w:rsidRPr="00DD701B" w:rsidRDefault="00861E8F" w:rsidP="00F2073A">
            <w:pPr>
              <w:jc w:val="center"/>
              <w:rPr>
                <w:rFonts w:ascii="Times New Roman" w:hAnsi="Times New Roman" w:cs="Times New Roman"/>
              </w:rPr>
            </w:pPr>
            <w:r w:rsidRPr="00DD701B">
              <w:rPr>
                <w:rFonts w:ascii="Times New Roman" w:hAnsi="Times New Roman" w:cs="Times New Roman"/>
              </w:rPr>
              <w:t>Driver, IC</w:t>
            </w:r>
          </w:p>
        </w:tc>
        <w:tc>
          <w:tcPr>
            <w:tcW w:w="1710" w:type="dxa"/>
            <w:tcBorders>
              <w:top w:val="nil"/>
              <w:left w:val="nil"/>
              <w:bottom w:val="nil"/>
              <w:right w:val="nil"/>
            </w:tcBorders>
            <w:vAlign w:val="center"/>
          </w:tcPr>
          <w:p w:rsidR="00861E8F" w:rsidRDefault="00861E8F" w:rsidP="00F2073A">
            <w:pPr>
              <w:jc w:val="center"/>
              <w:rPr>
                <w:rFonts w:ascii="Times New Roman" w:hAnsi="Times New Roman" w:cs="Times New Roman"/>
                <w:sz w:val="24"/>
                <w:szCs w:val="24"/>
              </w:rPr>
            </w:pPr>
            <w:r>
              <w:rPr>
                <w:rFonts w:ascii="Times New Roman" w:hAnsi="Times New Roman" w:cs="Times New Roman"/>
                <w:sz w:val="24"/>
                <w:szCs w:val="24"/>
              </w:rPr>
              <w:t>Driver</w:t>
            </w:r>
          </w:p>
        </w:tc>
      </w:tr>
      <w:tr w:rsidR="00861E8F" w:rsidTr="00F2073A">
        <w:trPr>
          <w:jc w:val="center"/>
        </w:trPr>
        <w:tc>
          <w:tcPr>
            <w:tcW w:w="3055" w:type="dxa"/>
            <w:tcBorders>
              <w:top w:val="nil"/>
              <w:left w:val="nil"/>
              <w:bottom w:val="double" w:sz="4" w:space="0" w:color="auto"/>
              <w:right w:val="nil"/>
            </w:tcBorders>
            <w:vAlign w:val="bottom"/>
          </w:tcPr>
          <w:p w:rsidR="00861E8F" w:rsidRDefault="00861E8F" w:rsidP="00F2073A">
            <w:pPr>
              <w:ind w:right="-720"/>
              <w:rPr>
                <w:rFonts w:ascii="Times New Roman" w:hAnsi="Times New Roman" w:cs="Times New Roman"/>
                <w:sz w:val="24"/>
                <w:szCs w:val="24"/>
              </w:rPr>
            </w:pPr>
            <w:r>
              <w:rPr>
                <w:rFonts w:ascii="Times New Roman" w:hAnsi="Times New Roman" w:cs="Times New Roman"/>
                <w:b/>
                <w:sz w:val="24"/>
                <w:szCs w:val="24"/>
              </w:rPr>
              <w:t xml:space="preserve">                   </w:t>
            </w:r>
            <w:r w:rsidRPr="002E5E0B">
              <w:rPr>
                <w:rFonts w:ascii="Times New Roman" w:hAnsi="Times New Roman" w:cs="Times New Roman"/>
                <w:b/>
                <w:sz w:val="24"/>
                <w:szCs w:val="24"/>
              </w:rPr>
              <w:t>Paper</w:t>
            </w:r>
          </w:p>
        </w:tc>
        <w:tc>
          <w:tcPr>
            <w:tcW w:w="1620" w:type="dxa"/>
            <w:tcBorders>
              <w:top w:val="nil"/>
              <w:left w:val="nil"/>
              <w:bottom w:val="double" w:sz="4" w:space="0" w:color="auto"/>
              <w:right w:val="nil"/>
            </w:tcBorders>
            <w:vAlign w:val="bottom"/>
          </w:tcPr>
          <w:p w:rsidR="00861E8F" w:rsidRDefault="00861E8F" w:rsidP="00F2073A">
            <w:pPr>
              <w:ind w:right="27"/>
              <w:jc w:val="center"/>
              <w:rPr>
                <w:rFonts w:ascii="Times New Roman" w:hAnsi="Times New Roman" w:cs="Times New Roman"/>
                <w:sz w:val="24"/>
                <w:szCs w:val="24"/>
              </w:rPr>
            </w:pPr>
            <w:r w:rsidRPr="002E5E0B">
              <w:rPr>
                <w:rFonts w:ascii="Times New Roman" w:hAnsi="Times New Roman" w:cs="Times New Roman"/>
                <w:b/>
                <w:sz w:val="24"/>
                <w:szCs w:val="24"/>
              </w:rPr>
              <w:t xml:space="preserve">Ecosystem or </w:t>
            </w:r>
            <w:r>
              <w:rPr>
                <w:rFonts w:ascii="Times New Roman" w:hAnsi="Times New Roman" w:cs="Times New Roman"/>
                <w:b/>
                <w:sz w:val="24"/>
                <w:szCs w:val="24"/>
              </w:rPr>
              <w:t>region</w:t>
            </w:r>
          </w:p>
        </w:tc>
        <w:tc>
          <w:tcPr>
            <w:tcW w:w="2520" w:type="dxa"/>
            <w:tcBorders>
              <w:top w:val="nil"/>
              <w:left w:val="nil"/>
              <w:bottom w:val="double" w:sz="4" w:space="0" w:color="auto"/>
              <w:right w:val="nil"/>
            </w:tcBorders>
            <w:vAlign w:val="bottom"/>
          </w:tcPr>
          <w:p w:rsidR="00861E8F" w:rsidRDefault="00861E8F" w:rsidP="00F2073A">
            <w:pPr>
              <w:ind w:right="28"/>
              <w:jc w:val="center"/>
              <w:rPr>
                <w:rFonts w:ascii="Times New Roman" w:hAnsi="Times New Roman" w:cs="Times New Roman"/>
                <w:sz w:val="24"/>
                <w:szCs w:val="24"/>
              </w:rPr>
            </w:pPr>
            <w:r w:rsidRPr="002E5E0B">
              <w:rPr>
                <w:rFonts w:ascii="Times New Roman" w:hAnsi="Times New Roman" w:cs="Times New Roman"/>
                <w:b/>
                <w:sz w:val="24"/>
                <w:szCs w:val="24"/>
              </w:rPr>
              <w:t>Focal forecasting variable</w:t>
            </w:r>
          </w:p>
        </w:tc>
        <w:tc>
          <w:tcPr>
            <w:tcW w:w="1440" w:type="dxa"/>
            <w:tcBorders>
              <w:top w:val="nil"/>
              <w:left w:val="nil"/>
              <w:bottom w:val="double" w:sz="4" w:space="0" w:color="auto"/>
              <w:right w:val="nil"/>
            </w:tcBorders>
            <w:vAlign w:val="bottom"/>
          </w:tcPr>
          <w:p w:rsidR="00861E8F" w:rsidRDefault="00861E8F" w:rsidP="00F2073A">
            <w:pPr>
              <w:ind w:right="14"/>
              <w:jc w:val="center"/>
              <w:rPr>
                <w:rFonts w:ascii="Times New Roman" w:hAnsi="Times New Roman" w:cs="Times New Roman"/>
                <w:sz w:val="24"/>
                <w:szCs w:val="24"/>
              </w:rPr>
            </w:pPr>
            <w:r w:rsidRPr="002E5E0B">
              <w:rPr>
                <w:rFonts w:ascii="Times New Roman" w:hAnsi="Times New Roman" w:cs="Times New Roman"/>
                <w:b/>
                <w:sz w:val="24"/>
                <w:szCs w:val="24"/>
              </w:rPr>
              <w:t>Forecast horizon</w:t>
            </w:r>
          </w:p>
        </w:tc>
        <w:tc>
          <w:tcPr>
            <w:tcW w:w="2970" w:type="dxa"/>
            <w:tcBorders>
              <w:top w:val="nil"/>
              <w:left w:val="nil"/>
              <w:bottom w:val="double" w:sz="4" w:space="0" w:color="auto"/>
              <w:right w:val="nil"/>
            </w:tcBorders>
            <w:vAlign w:val="bottom"/>
          </w:tcPr>
          <w:p w:rsidR="00861E8F" w:rsidRPr="00656C21" w:rsidRDefault="00861E8F" w:rsidP="00F2073A">
            <w:pPr>
              <w:jc w:val="center"/>
              <w:rPr>
                <w:rFonts w:ascii="Times New Roman" w:hAnsi="Times New Roman" w:cs="Times New Roman"/>
                <w:sz w:val="24"/>
                <w:szCs w:val="24"/>
              </w:rPr>
            </w:pPr>
            <w:r w:rsidRPr="002E5E0B">
              <w:rPr>
                <w:rFonts w:ascii="Times New Roman" w:hAnsi="Times New Roman" w:cs="Times New Roman"/>
                <w:b/>
                <w:sz w:val="24"/>
                <w:szCs w:val="24"/>
              </w:rPr>
              <w:t>Type of model</w:t>
            </w:r>
          </w:p>
        </w:tc>
        <w:tc>
          <w:tcPr>
            <w:tcW w:w="1530" w:type="dxa"/>
            <w:tcBorders>
              <w:top w:val="nil"/>
              <w:left w:val="nil"/>
              <w:bottom w:val="double" w:sz="4" w:space="0" w:color="auto"/>
              <w:right w:val="nil"/>
            </w:tcBorders>
            <w:vAlign w:val="bottom"/>
          </w:tcPr>
          <w:p w:rsidR="00861E8F" w:rsidRDefault="00861E8F" w:rsidP="00F2073A">
            <w:pPr>
              <w:jc w:val="center"/>
              <w:rPr>
                <w:rFonts w:ascii="Times New Roman" w:hAnsi="Times New Roman" w:cs="Times New Roman"/>
                <w:sz w:val="24"/>
                <w:szCs w:val="24"/>
              </w:rPr>
            </w:pPr>
            <w:r w:rsidRPr="002E5E0B">
              <w:rPr>
                <w:rFonts w:ascii="Times New Roman" w:hAnsi="Times New Roman" w:cs="Times New Roman"/>
                <w:b/>
                <w:sz w:val="24"/>
                <w:szCs w:val="24"/>
              </w:rPr>
              <w:t>Types of uncertainty quantified</w:t>
            </w:r>
          </w:p>
        </w:tc>
        <w:tc>
          <w:tcPr>
            <w:tcW w:w="1710" w:type="dxa"/>
            <w:tcBorders>
              <w:top w:val="nil"/>
              <w:left w:val="nil"/>
              <w:bottom w:val="double" w:sz="4" w:space="0" w:color="auto"/>
              <w:right w:val="nil"/>
            </w:tcBorders>
            <w:vAlign w:val="bottom"/>
          </w:tcPr>
          <w:p w:rsidR="00861E8F" w:rsidRDefault="00861E8F" w:rsidP="00F2073A">
            <w:pPr>
              <w:jc w:val="center"/>
              <w:rPr>
                <w:rFonts w:ascii="Times New Roman" w:hAnsi="Times New Roman" w:cs="Times New Roman"/>
                <w:sz w:val="24"/>
                <w:szCs w:val="24"/>
              </w:rPr>
            </w:pPr>
            <w:r w:rsidRPr="002E5E0B">
              <w:rPr>
                <w:rFonts w:ascii="Times New Roman" w:hAnsi="Times New Roman" w:cs="Times New Roman"/>
                <w:b/>
                <w:sz w:val="24"/>
                <w:szCs w:val="24"/>
              </w:rPr>
              <w:t>Dominant source of uncertainty</w:t>
            </w:r>
          </w:p>
        </w:tc>
      </w:tr>
      <w:tr w:rsidR="00861E8F" w:rsidTr="00F2073A">
        <w:trPr>
          <w:jc w:val="center"/>
        </w:trPr>
        <w:tc>
          <w:tcPr>
            <w:tcW w:w="3055" w:type="dxa"/>
            <w:tcBorders>
              <w:top w:val="double" w:sz="4" w:space="0" w:color="auto"/>
              <w:left w:val="nil"/>
              <w:bottom w:val="nil"/>
              <w:right w:val="nil"/>
            </w:tcBorders>
            <w:vAlign w:val="center"/>
          </w:tcPr>
          <w:p w:rsidR="00861E8F" w:rsidRDefault="00861E8F" w:rsidP="00F2073A">
            <w:pPr>
              <w:ind w:right="-720"/>
              <w:rPr>
                <w:rFonts w:ascii="Times New Roman" w:hAnsi="Times New Roman" w:cs="Times New Roman"/>
                <w:sz w:val="24"/>
                <w:szCs w:val="24"/>
              </w:rPr>
            </w:pPr>
            <w:r>
              <w:rPr>
                <w:rFonts w:ascii="Times New Roman" w:hAnsi="Times New Roman" w:cs="Times New Roman"/>
                <w:sz w:val="24"/>
                <w:szCs w:val="24"/>
              </w:rPr>
              <w:lastRenderedPageBreak/>
              <w:fldChar w:fldCharType="begin" w:fldLock="1"/>
            </w:r>
            <w:r>
              <w:rPr>
                <w:rFonts w:ascii="Times New Roman" w:hAnsi="Times New Roman" w:cs="Times New Roman"/>
                <w:sz w:val="24"/>
                <w:szCs w:val="24"/>
              </w:rPr>
              <w:instrText>ADDIN CSL_CITATION {"citationItems":[{"id":"ITEM-1","itemData":{"DOI":"10.1016/j.ecolmodel.2017.04.011","ISSN":"0304-3800","author":[{"dropping-particle":"","family":"Page","given":"Trevor","non-dropping-particle":"","parse-names":false,"suffix":""},{"dropping-particle":"","family":"Smith","given":"Paul J","non-dropping-particle":"","parse-names":false,"suffix":""},{"dropping-particle":"","family":"Beven","given":"Keith J","non-dropping-particle":"","parse-names":false,"suffix":""},{"dropping-particle":"","family":"Jones","given":"Ian D","non-dropping-particle":"","parse-names":false,"suffix":""},{"dropping-particle":"","family":"Elliott","given":"J Alex","non-dropping-particle":"","parse-names":false,"suffix":""},{"dropping-particle":"","family":"Maberly","given":"Stephen C","non-dropping-particle":"","parse-names":false,"suffix":""},{"dropping-particle":"","family":"Mackay","given":"Eleanor B","non-dropping-particle":"","parse-names":false,"suffix":""},{"dropping-particle":"De","family":"Ville","given":"Mitzi","non-dropping-particle":"","parse-names":false,"suffix":""},{"dropping-particle":"","family":"Feuchtmayr","given":"Heidrun","non-dropping-particle":"","parse-names":false,"suffix":""}],"container-title":"Ecological Modelling","id":"ITEM-1","issued":{"date-parts":[["2017"]]},"page":"1-13","publisher":"Elsevier B.V.","title":"Constraining uncertainty and process-representation in an algal community lake model using high frequency in-lake observations","type":"article-journal","volume":"357"},"uris":["http://www.mendeley.com/documents/?uuid=7f6909d7-1c1d-4e65-a77a-28622f586146"]}],"mendeley":{"formattedCitation":"(Page et al. 2017)","plainTextFormattedCitation":"(Page et al. 2017)","previouslyFormattedCitation":"(Page et al. 2017)"},"properties":{"noteIndex":0},"schema":"https://github.com/citation-style-language/schema/raw/master/csl-citation.json"}</w:instrText>
            </w:r>
            <w:r>
              <w:rPr>
                <w:rFonts w:ascii="Times New Roman" w:hAnsi="Times New Roman" w:cs="Times New Roman"/>
                <w:sz w:val="24"/>
                <w:szCs w:val="24"/>
              </w:rPr>
              <w:fldChar w:fldCharType="separate"/>
            </w:r>
            <w:r w:rsidRPr="002E5E0B">
              <w:rPr>
                <w:rFonts w:ascii="Times New Roman" w:hAnsi="Times New Roman" w:cs="Times New Roman"/>
                <w:noProof/>
                <w:sz w:val="24"/>
                <w:szCs w:val="24"/>
              </w:rPr>
              <w:t>(Page et al. 2017)</w:t>
            </w:r>
            <w:r>
              <w:rPr>
                <w:rFonts w:ascii="Times New Roman" w:hAnsi="Times New Roman" w:cs="Times New Roman"/>
                <w:sz w:val="24"/>
                <w:szCs w:val="24"/>
              </w:rPr>
              <w:fldChar w:fldCharType="end"/>
            </w:r>
          </w:p>
        </w:tc>
        <w:tc>
          <w:tcPr>
            <w:tcW w:w="1620" w:type="dxa"/>
            <w:tcBorders>
              <w:top w:val="double" w:sz="4" w:space="0" w:color="auto"/>
              <w:left w:val="nil"/>
              <w:bottom w:val="nil"/>
              <w:right w:val="nil"/>
            </w:tcBorders>
            <w:vAlign w:val="center"/>
          </w:tcPr>
          <w:p w:rsidR="00861E8F" w:rsidRDefault="00861E8F" w:rsidP="00F2073A">
            <w:pPr>
              <w:ind w:right="27"/>
              <w:jc w:val="center"/>
              <w:rPr>
                <w:rFonts w:ascii="Times New Roman" w:hAnsi="Times New Roman" w:cs="Times New Roman"/>
                <w:sz w:val="24"/>
                <w:szCs w:val="24"/>
              </w:rPr>
            </w:pPr>
            <w:r>
              <w:rPr>
                <w:rFonts w:ascii="Times New Roman" w:hAnsi="Times New Roman" w:cs="Times New Roman"/>
                <w:sz w:val="24"/>
                <w:szCs w:val="24"/>
              </w:rPr>
              <w:t>Lake</w:t>
            </w:r>
          </w:p>
        </w:tc>
        <w:tc>
          <w:tcPr>
            <w:tcW w:w="2520" w:type="dxa"/>
            <w:tcBorders>
              <w:top w:val="double" w:sz="4" w:space="0" w:color="auto"/>
              <w:left w:val="nil"/>
              <w:bottom w:val="nil"/>
              <w:right w:val="nil"/>
            </w:tcBorders>
            <w:vAlign w:val="center"/>
          </w:tcPr>
          <w:p w:rsidR="00861E8F" w:rsidRDefault="00861E8F" w:rsidP="00F2073A">
            <w:pPr>
              <w:ind w:right="28"/>
              <w:jc w:val="center"/>
              <w:rPr>
                <w:rFonts w:ascii="Times New Roman" w:hAnsi="Times New Roman" w:cs="Times New Roman"/>
                <w:sz w:val="24"/>
                <w:szCs w:val="24"/>
              </w:rPr>
            </w:pPr>
            <w:r>
              <w:rPr>
                <w:rFonts w:ascii="Times New Roman" w:hAnsi="Times New Roman" w:cs="Times New Roman"/>
                <w:sz w:val="24"/>
                <w:szCs w:val="24"/>
              </w:rPr>
              <w:t>Phytoplankton</w:t>
            </w:r>
          </w:p>
          <w:p w:rsidR="00861E8F" w:rsidRDefault="00861E8F" w:rsidP="00F2073A">
            <w:pPr>
              <w:ind w:right="28"/>
              <w:jc w:val="center"/>
              <w:rPr>
                <w:rFonts w:ascii="Times New Roman" w:hAnsi="Times New Roman" w:cs="Times New Roman"/>
                <w:sz w:val="24"/>
                <w:szCs w:val="24"/>
              </w:rPr>
            </w:pPr>
            <w:r>
              <w:rPr>
                <w:rFonts w:ascii="Times New Roman" w:hAnsi="Times New Roman" w:cs="Times New Roman"/>
                <w:sz w:val="24"/>
                <w:szCs w:val="24"/>
              </w:rPr>
              <w:t>community</w:t>
            </w:r>
          </w:p>
        </w:tc>
        <w:tc>
          <w:tcPr>
            <w:tcW w:w="1440" w:type="dxa"/>
            <w:tcBorders>
              <w:top w:val="double" w:sz="4" w:space="0" w:color="auto"/>
              <w:left w:val="nil"/>
              <w:bottom w:val="nil"/>
              <w:right w:val="nil"/>
            </w:tcBorders>
            <w:vAlign w:val="center"/>
          </w:tcPr>
          <w:p w:rsidR="00861E8F" w:rsidRDefault="00861E8F" w:rsidP="00F2073A">
            <w:pPr>
              <w:ind w:right="14"/>
              <w:jc w:val="center"/>
              <w:rPr>
                <w:rFonts w:ascii="Times New Roman" w:hAnsi="Times New Roman" w:cs="Times New Roman"/>
                <w:sz w:val="24"/>
                <w:szCs w:val="24"/>
              </w:rPr>
            </w:pPr>
            <w:r>
              <w:rPr>
                <w:rFonts w:ascii="Times New Roman" w:hAnsi="Times New Roman" w:cs="Times New Roman"/>
                <w:sz w:val="24"/>
                <w:szCs w:val="24"/>
              </w:rPr>
              <w:t>Weekly</w:t>
            </w:r>
          </w:p>
        </w:tc>
        <w:tc>
          <w:tcPr>
            <w:tcW w:w="2970" w:type="dxa"/>
            <w:tcBorders>
              <w:top w:val="double" w:sz="4" w:space="0" w:color="auto"/>
              <w:left w:val="nil"/>
              <w:bottom w:val="nil"/>
              <w:right w:val="nil"/>
            </w:tcBorders>
            <w:vAlign w:val="center"/>
          </w:tcPr>
          <w:p w:rsidR="00861E8F" w:rsidRPr="00656C21" w:rsidRDefault="00861E8F" w:rsidP="00F2073A">
            <w:pPr>
              <w:jc w:val="center"/>
              <w:rPr>
                <w:rFonts w:ascii="Times New Roman" w:hAnsi="Times New Roman" w:cs="Times New Roman"/>
                <w:sz w:val="24"/>
                <w:szCs w:val="24"/>
              </w:rPr>
            </w:pPr>
            <w:r w:rsidRPr="00656C21">
              <w:rPr>
                <w:rFonts w:ascii="Times New Roman" w:hAnsi="Times New Roman" w:cs="Times New Roman"/>
                <w:sz w:val="24"/>
                <w:szCs w:val="24"/>
              </w:rPr>
              <w:t>Complex numerical process-based</w:t>
            </w:r>
          </w:p>
        </w:tc>
        <w:tc>
          <w:tcPr>
            <w:tcW w:w="1530" w:type="dxa"/>
            <w:tcBorders>
              <w:top w:val="double" w:sz="4" w:space="0" w:color="auto"/>
              <w:left w:val="nil"/>
              <w:bottom w:val="nil"/>
              <w:right w:val="nil"/>
            </w:tcBorders>
            <w:vAlign w:val="center"/>
          </w:tcPr>
          <w:p w:rsidR="00861E8F" w:rsidRPr="00DD701B" w:rsidRDefault="00861E8F" w:rsidP="00F2073A">
            <w:pPr>
              <w:jc w:val="center"/>
              <w:rPr>
                <w:rFonts w:ascii="Times New Roman" w:hAnsi="Times New Roman" w:cs="Times New Roman"/>
              </w:rPr>
            </w:pPr>
            <w:r w:rsidRPr="00DD701B">
              <w:rPr>
                <w:rFonts w:ascii="Times New Roman" w:hAnsi="Times New Roman" w:cs="Times New Roman"/>
              </w:rPr>
              <w:t>Process (different sources)</w:t>
            </w:r>
          </w:p>
        </w:tc>
        <w:tc>
          <w:tcPr>
            <w:tcW w:w="1710" w:type="dxa"/>
            <w:tcBorders>
              <w:top w:val="double" w:sz="4" w:space="0" w:color="auto"/>
              <w:left w:val="nil"/>
              <w:bottom w:val="nil"/>
              <w:right w:val="nil"/>
            </w:tcBorders>
            <w:vAlign w:val="center"/>
          </w:tcPr>
          <w:p w:rsidR="00861E8F" w:rsidRDefault="00861E8F" w:rsidP="00F2073A">
            <w:pPr>
              <w:jc w:val="center"/>
              <w:rPr>
                <w:rFonts w:ascii="Times New Roman" w:hAnsi="Times New Roman" w:cs="Times New Roman"/>
                <w:sz w:val="24"/>
                <w:szCs w:val="24"/>
              </w:rPr>
            </w:pPr>
            <w:r>
              <w:rPr>
                <w:rFonts w:ascii="Times New Roman" w:hAnsi="Times New Roman" w:cs="Times New Roman"/>
                <w:sz w:val="24"/>
                <w:szCs w:val="24"/>
              </w:rPr>
              <w:t>Process (representation of light, nutrients)</w:t>
            </w:r>
          </w:p>
        </w:tc>
      </w:tr>
      <w:tr w:rsidR="00861E8F" w:rsidTr="00F2073A">
        <w:trPr>
          <w:jc w:val="center"/>
        </w:trPr>
        <w:tc>
          <w:tcPr>
            <w:tcW w:w="3055" w:type="dxa"/>
            <w:tcBorders>
              <w:top w:val="nil"/>
              <w:left w:val="nil"/>
              <w:bottom w:val="nil"/>
              <w:right w:val="nil"/>
            </w:tcBorders>
            <w:vAlign w:val="center"/>
          </w:tcPr>
          <w:p w:rsidR="00861E8F" w:rsidRDefault="00861E8F" w:rsidP="00F2073A">
            <w:pPr>
              <w:ind w:right="-720"/>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Raiho","given":"Ann","non-dropping-particle":"","parse-names":false,"suffix":""},{"dropping-particle":"","family":"Dietze","given":"Michael","non-dropping-particle":"","parse-names":false,"suffix":""},{"dropping-particle":"","family":"Dawson","given":"Andria","non-dropping-particle":"","parse-names":false,"suffix":""},{"dropping-particle":"","family":"Rollinson","given":"Christine","non-dropping-particle":"","parse-names":false,"suffix":""},{"dropping-particle":"","family":"Tipton","given":"John","non-dropping-particle":"","parse-names":false,"suffix":""},{"dropping-particle":"","family":"McLachlan","given":"Jason","non-dropping-particle":"","parse-names":false,"suffix":""}],"container-title":"in prep for Global Change Biology","id":"ITEM-1","issued":{"date-parts":[["2020"]]},"title":"Determinants of Predictability in Multi-decadal Forest Community and Carbon Dynamics","type":"article-journal"},"uris":["http://www.mendeley.com/documents/?uuid=da7035ba-8fe3-44a4-9977-341bfdccdd83"]}],"mendeley":{"formattedCitation":"(Raiho et al. 2020)","plainTextFormattedCitation":"(Raiho et al. 2020)","previouslyFormattedCitation":"(Raiho et al. 2020)"},"properties":{"noteIndex":0},"schema":"https://github.com/citation-style-language/schema/raw/master/csl-citation.json"}</w:instrText>
            </w:r>
            <w:r>
              <w:rPr>
                <w:rFonts w:ascii="Times New Roman" w:hAnsi="Times New Roman" w:cs="Times New Roman"/>
                <w:sz w:val="24"/>
                <w:szCs w:val="24"/>
              </w:rPr>
              <w:fldChar w:fldCharType="separate"/>
            </w:r>
            <w:r w:rsidRPr="002E5E0B">
              <w:rPr>
                <w:rFonts w:ascii="Times New Roman" w:hAnsi="Times New Roman" w:cs="Times New Roman"/>
                <w:noProof/>
                <w:sz w:val="24"/>
                <w:szCs w:val="24"/>
              </w:rPr>
              <w:t>(Raiho et al. 2020)</w:t>
            </w:r>
            <w:r>
              <w:rPr>
                <w:rFonts w:ascii="Times New Roman" w:hAnsi="Times New Roman" w:cs="Times New Roman"/>
                <w:sz w:val="24"/>
                <w:szCs w:val="24"/>
              </w:rPr>
              <w:fldChar w:fldCharType="end"/>
            </w:r>
          </w:p>
        </w:tc>
        <w:tc>
          <w:tcPr>
            <w:tcW w:w="1620" w:type="dxa"/>
            <w:tcBorders>
              <w:top w:val="nil"/>
              <w:left w:val="nil"/>
              <w:bottom w:val="nil"/>
              <w:right w:val="nil"/>
            </w:tcBorders>
            <w:vAlign w:val="center"/>
          </w:tcPr>
          <w:p w:rsidR="00861E8F" w:rsidRDefault="00861E8F" w:rsidP="00F2073A">
            <w:pPr>
              <w:ind w:right="27"/>
              <w:jc w:val="center"/>
              <w:rPr>
                <w:rFonts w:ascii="Times New Roman" w:hAnsi="Times New Roman" w:cs="Times New Roman"/>
                <w:sz w:val="24"/>
                <w:szCs w:val="24"/>
              </w:rPr>
            </w:pPr>
            <w:r>
              <w:rPr>
                <w:rFonts w:ascii="Times New Roman" w:hAnsi="Times New Roman" w:cs="Times New Roman"/>
                <w:sz w:val="24"/>
                <w:szCs w:val="24"/>
              </w:rPr>
              <w:t>Forest</w:t>
            </w:r>
          </w:p>
        </w:tc>
        <w:tc>
          <w:tcPr>
            <w:tcW w:w="2520" w:type="dxa"/>
            <w:tcBorders>
              <w:top w:val="nil"/>
              <w:left w:val="nil"/>
              <w:bottom w:val="nil"/>
              <w:right w:val="nil"/>
            </w:tcBorders>
            <w:vAlign w:val="center"/>
          </w:tcPr>
          <w:p w:rsidR="00861E8F" w:rsidRDefault="00861E8F" w:rsidP="00F2073A">
            <w:pPr>
              <w:ind w:right="28"/>
              <w:jc w:val="center"/>
              <w:rPr>
                <w:rFonts w:ascii="Times New Roman" w:hAnsi="Times New Roman" w:cs="Times New Roman"/>
                <w:sz w:val="24"/>
                <w:szCs w:val="24"/>
              </w:rPr>
            </w:pPr>
            <w:r>
              <w:rPr>
                <w:rFonts w:ascii="Times New Roman" w:hAnsi="Times New Roman" w:cs="Times New Roman"/>
                <w:sz w:val="24"/>
                <w:szCs w:val="24"/>
              </w:rPr>
              <w:t>Tree species biomass</w:t>
            </w:r>
          </w:p>
        </w:tc>
        <w:tc>
          <w:tcPr>
            <w:tcW w:w="1440" w:type="dxa"/>
            <w:tcBorders>
              <w:top w:val="nil"/>
              <w:left w:val="nil"/>
              <w:bottom w:val="nil"/>
              <w:right w:val="nil"/>
            </w:tcBorders>
            <w:vAlign w:val="center"/>
          </w:tcPr>
          <w:p w:rsidR="00861E8F" w:rsidRDefault="00861E8F" w:rsidP="00F2073A">
            <w:pPr>
              <w:ind w:right="14"/>
              <w:jc w:val="center"/>
              <w:rPr>
                <w:rFonts w:ascii="Times New Roman" w:hAnsi="Times New Roman" w:cs="Times New Roman"/>
                <w:sz w:val="24"/>
                <w:szCs w:val="24"/>
              </w:rPr>
            </w:pPr>
            <w:r>
              <w:rPr>
                <w:rFonts w:ascii="Times New Roman" w:hAnsi="Times New Roman" w:cs="Times New Roman"/>
                <w:sz w:val="24"/>
                <w:szCs w:val="24"/>
              </w:rPr>
              <w:t>Multi- decadal</w:t>
            </w:r>
          </w:p>
        </w:tc>
        <w:tc>
          <w:tcPr>
            <w:tcW w:w="2970" w:type="dxa"/>
            <w:tcBorders>
              <w:top w:val="nil"/>
              <w:left w:val="nil"/>
              <w:bottom w:val="nil"/>
              <w:right w:val="nil"/>
            </w:tcBorders>
            <w:vAlign w:val="center"/>
          </w:tcPr>
          <w:p w:rsidR="00861E8F" w:rsidRPr="00656C21" w:rsidRDefault="00861E8F" w:rsidP="00F2073A">
            <w:pPr>
              <w:jc w:val="center"/>
              <w:rPr>
                <w:rFonts w:ascii="Times New Roman" w:hAnsi="Times New Roman" w:cs="Times New Roman"/>
                <w:sz w:val="24"/>
                <w:szCs w:val="24"/>
              </w:rPr>
            </w:pPr>
            <w:r w:rsidRPr="00656C21">
              <w:rPr>
                <w:rFonts w:ascii="Times New Roman" w:hAnsi="Times New Roman" w:cs="Times New Roman"/>
                <w:sz w:val="24"/>
                <w:szCs w:val="24"/>
              </w:rPr>
              <w:t>Process-based forest gap model</w:t>
            </w:r>
          </w:p>
        </w:tc>
        <w:tc>
          <w:tcPr>
            <w:tcW w:w="1530" w:type="dxa"/>
            <w:tcBorders>
              <w:top w:val="nil"/>
              <w:left w:val="nil"/>
              <w:bottom w:val="nil"/>
              <w:right w:val="nil"/>
            </w:tcBorders>
            <w:vAlign w:val="center"/>
          </w:tcPr>
          <w:p w:rsidR="00861E8F" w:rsidRDefault="00861E8F" w:rsidP="00F2073A">
            <w:pPr>
              <w:jc w:val="center"/>
              <w:rPr>
                <w:rFonts w:ascii="Times New Roman" w:hAnsi="Times New Roman" w:cs="Times New Roman"/>
              </w:rPr>
            </w:pPr>
            <w:r w:rsidRPr="00DD701B">
              <w:rPr>
                <w:rFonts w:ascii="Times New Roman" w:hAnsi="Times New Roman" w:cs="Times New Roman"/>
              </w:rPr>
              <w:t>Driver, IC, parameter, process</w:t>
            </w:r>
          </w:p>
          <w:p w:rsidR="00861E8F" w:rsidRPr="00DD701B" w:rsidRDefault="00861E8F" w:rsidP="00F2073A">
            <w:pPr>
              <w:jc w:val="center"/>
              <w:rPr>
                <w:rFonts w:ascii="Times New Roman" w:hAnsi="Times New Roman" w:cs="Times New Roman"/>
              </w:rPr>
            </w:pPr>
          </w:p>
        </w:tc>
        <w:tc>
          <w:tcPr>
            <w:tcW w:w="1710" w:type="dxa"/>
            <w:tcBorders>
              <w:top w:val="nil"/>
              <w:left w:val="nil"/>
              <w:bottom w:val="nil"/>
              <w:right w:val="nil"/>
            </w:tcBorders>
            <w:vAlign w:val="center"/>
          </w:tcPr>
          <w:p w:rsidR="00861E8F" w:rsidRDefault="00861E8F" w:rsidP="00F2073A">
            <w:pPr>
              <w:jc w:val="center"/>
              <w:rPr>
                <w:rFonts w:ascii="Times New Roman" w:hAnsi="Times New Roman" w:cs="Times New Roman"/>
                <w:sz w:val="24"/>
                <w:szCs w:val="24"/>
              </w:rPr>
            </w:pPr>
            <w:r>
              <w:rPr>
                <w:rFonts w:ascii="Times New Roman" w:hAnsi="Times New Roman" w:cs="Times New Roman"/>
                <w:sz w:val="24"/>
                <w:szCs w:val="24"/>
              </w:rPr>
              <w:t>Process</w:t>
            </w:r>
          </w:p>
        </w:tc>
      </w:tr>
      <w:tr w:rsidR="00861E8F" w:rsidTr="00F2073A">
        <w:trPr>
          <w:jc w:val="center"/>
        </w:trPr>
        <w:tc>
          <w:tcPr>
            <w:tcW w:w="3055" w:type="dxa"/>
            <w:tcBorders>
              <w:top w:val="nil"/>
              <w:left w:val="nil"/>
              <w:bottom w:val="nil"/>
              <w:right w:val="nil"/>
            </w:tcBorders>
            <w:vAlign w:val="center"/>
          </w:tcPr>
          <w:p w:rsidR="00861E8F" w:rsidRDefault="00861E8F" w:rsidP="00F2073A">
            <w:pPr>
              <w:ind w:right="-720"/>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{"citationItems":[{"id":"ITEM-1","itemData":{"DOI":"10.1002/eap.1761","ISSN":"19395582","abstract":"Ecological forecasting of forest productivity involves integrating observations into a process-based model and propagating the dominant components of uncertainty to generate probability distributions for future states and fluxes. Here, we develop a forecast for the biomass change in loblolly pine (Pinus taeda) forests of the southeastern United States and evaluate the relative contribution of different forms of uncertainty to the total forecast uncertainty. Specifically, we assimilated observations of carbon and flux stocks and fluxes from sites across the region, including global change experiments, into a forest ecosystem model to calibrate the parameter distributions and estimate the process uncertainty (i.e., model structure uncertainty revealed in the residuals of the calibration). Using this calibration, we forecasted the change in biomass within each 12-digit Hydrologic (H12) unit across the native range of loblolly pine between 2010 and 2055 under the Representative Concentration Pathway 8.5 scenario. Averaged across the region, productivity is predicted to increase by a mean of 31% between 2010 and 2055 with an average forecast 95% quantile interval of ±15 percentage units. The largest increases were predicted in cooler locations, corresponding to the largest projected changes in temperature. The forecasted mean change varied considerably among the H12 units (3–80% productivity increase), but only units in the warmest and driest extents of the loblolly pine range had forecast distributions with probabilities of a decline in productivity that exceeded 5%. By isolating the individual components of the forecast uncertainty, we found that ecosystem model process uncertainty made the largest individual contribution. Ecosystem model parameter and climate model uncertainty had similar contributions to the overall forecast uncertainty, but with differing spatial patterns across the study region. The probabilistic framework developed here could be modified to include additional sources of uncertainty, including changes due to fire, insects, and pests: processes that would result in lower productivity changes than forecasted here. Overall, this study presents an ecological forecast at the ecosystem management scale so that land managers can explicitly account for uncertainty in decision analysis. Furthermore, it highlights that future work should focus on quantifying, propagating, and reducing ecosystem model process uncertainty.","author":[{"dropping-particle":"","family":"Thomas","given":"R. Quinn","non-dropping-particle":"","parse-names":false,"suffix":""},{"dropping-particle":"","family":"Jersild","given":"Annika L.","non-dropping-particle":"","parse-names":false,"suffix":""},{"dropping-particle":"","family":"Brooks","given":"Evan B.","non-dropping-particle":"","parse-names":false,"suffix":""},{"dropping-particle":"","family":"Thomas","given":"Valerie A.","non-dropping-particle":"","parse-names":false,"suffix":""},{"dropping-particle":"","family":"Wynne","given":"Randolph H.","non-dropping-particle":"","parse-names":false,"suffix":""}],"container-title":"Ecological Applications","id":"ITEM-1","issue":"6","issued":{"date-parts":[["2018"]]},"page":"1503-1519","title":"A mid-century ecological forecast with partitioned uncertainty predicts increases in loblolly pine forest productivity","type":"article-journal","volume":"28"},"uris":["http://www.mendeley.com/documents/?uuid=dee80a70-514c-4e15-bb5f-b85634afff38"]}],"mendeley":{"formattedCitation":"(Thomas et al. 2018)","plainTextFormattedCitation":"(Thomas et al. 2018)","previouslyFormattedCitation":"(Thomas et al. 2018)"},"properties":{"noteIndex":0},"schema":"https://github.com/citation-style-language/schema/raw/master/csl-citation.json"}</w:instrText>
            </w:r>
            <w:r>
              <w:rPr>
                <w:rFonts w:ascii="Times New Roman" w:hAnsi="Times New Roman" w:cs="Times New Roman"/>
                <w:sz w:val="24"/>
                <w:szCs w:val="24"/>
              </w:rPr>
              <w:fldChar w:fldCharType="separate"/>
            </w:r>
            <w:r w:rsidRPr="002E5E0B">
              <w:rPr>
                <w:rFonts w:ascii="Times New Roman" w:hAnsi="Times New Roman" w:cs="Times New Roman"/>
                <w:noProof/>
                <w:sz w:val="24"/>
                <w:szCs w:val="24"/>
              </w:rPr>
              <w:t>(Thomas et al. 2018)</w:t>
            </w:r>
            <w:r>
              <w:rPr>
                <w:rFonts w:ascii="Times New Roman" w:hAnsi="Times New Roman" w:cs="Times New Roman"/>
                <w:sz w:val="24"/>
                <w:szCs w:val="24"/>
              </w:rPr>
              <w:fldChar w:fldCharType="end"/>
            </w:r>
          </w:p>
        </w:tc>
        <w:tc>
          <w:tcPr>
            <w:tcW w:w="1620" w:type="dxa"/>
            <w:tcBorders>
              <w:top w:val="nil"/>
              <w:left w:val="nil"/>
              <w:bottom w:val="nil"/>
              <w:right w:val="nil"/>
            </w:tcBorders>
            <w:vAlign w:val="center"/>
          </w:tcPr>
          <w:p w:rsidR="00861E8F" w:rsidRDefault="00861E8F" w:rsidP="00F2073A">
            <w:pPr>
              <w:ind w:right="27"/>
              <w:jc w:val="center"/>
              <w:rPr>
                <w:rFonts w:ascii="Times New Roman" w:hAnsi="Times New Roman" w:cs="Times New Roman"/>
                <w:sz w:val="24"/>
                <w:szCs w:val="24"/>
              </w:rPr>
            </w:pPr>
            <w:r>
              <w:rPr>
                <w:rFonts w:ascii="Times New Roman" w:hAnsi="Times New Roman" w:cs="Times New Roman"/>
                <w:sz w:val="24"/>
                <w:szCs w:val="24"/>
              </w:rPr>
              <w:t>Forest</w:t>
            </w:r>
          </w:p>
        </w:tc>
        <w:tc>
          <w:tcPr>
            <w:tcW w:w="2520" w:type="dxa"/>
            <w:tcBorders>
              <w:top w:val="nil"/>
              <w:left w:val="nil"/>
              <w:bottom w:val="nil"/>
              <w:right w:val="nil"/>
            </w:tcBorders>
            <w:vAlign w:val="center"/>
          </w:tcPr>
          <w:p w:rsidR="00861E8F" w:rsidRDefault="00861E8F" w:rsidP="00F2073A">
            <w:pPr>
              <w:ind w:right="28"/>
              <w:jc w:val="center"/>
              <w:rPr>
                <w:rFonts w:ascii="Times New Roman" w:hAnsi="Times New Roman" w:cs="Times New Roman"/>
                <w:sz w:val="24"/>
                <w:szCs w:val="24"/>
              </w:rPr>
            </w:pPr>
            <w:r>
              <w:rPr>
                <w:rFonts w:ascii="Times New Roman" w:hAnsi="Times New Roman" w:cs="Times New Roman"/>
                <w:sz w:val="24"/>
                <w:szCs w:val="24"/>
              </w:rPr>
              <w:t>Productivity</w:t>
            </w:r>
          </w:p>
        </w:tc>
        <w:tc>
          <w:tcPr>
            <w:tcW w:w="1440" w:type="dxa"/>
            <w:tcBorders>
              <w:top w:val="nil"/>
              <w:left w:val="nil"/>
              <w:bottom w:val="nil"/>
              <w:right w:val="nil"/>
            </w:tcBorders>
            <w:vAlign w:val="center"/>
          </w:tcPr>
          <w:p w:rsidR="00861E8F" w:rsidRDefault="00861E8F" w:rsidP="00F2073A">
            <w:pPr>
              <w:ind w:right="14"/>
              <w:jc w:val="center"/>
              <w:rPr>
                <w:rFonts w:ascii="Times New Roman" w:hAnsi="Times New Roman" w:cs="Times New Roman"/>
                <w:sz w:val="24"/>
                <w:szCs w:val="24"/>
              </w:rPr>
            </w:pPr>
            <w:r>
              <w:rPr>
                <w:rFonts w:ascii="Times New Roman" w:hAnsi="Times New Roman" w:cs="Times New Roman"/>
                <w:sz w:val="24"/>
                <w:szCs w:val="24"/>
              </w:rPr>
              <w:t>Decadal</w:t>
            </w:r>
          </w:p>
        </w:tc>
        <w:tc>
          <w:tcPr>
            <w:tcW w:w="2970" w:type="dxa"/>
            <w:tcBorders>
              <w:top w:val="nil"/>
              <w:left w:val="nil"/>
              <w:bottom w:val="nil"/>
              <w:right w:val="nil"/>
            </w:tcBorders>
            <w:vAlign w:val="center"/>
          </w:tcPr>
          <w:p w:rsidR="00861E8F" w:rsidRPr="00656C21" w:rsidRDefault="00861E8F" w:rsidP="00F2073A">
            <w:pPr>
              <w:jc w:val="center"/>
              <w:rPr>
                <w:rFonts w:ascii="Times New Roman" w:hAnsi="Times New Roman" w:cs="Times New Roman"/>
                <w:sz w:val="24"/>
                <w:szCs w:val="24"/>
              </w:rPr>
            </w:pPr>
            <w:r w:rsidRPr="00656C21">
              <w:rPr>
                <w:rFonts w:ascii="Times New Roman" w:hAnsi="Times New Roman" w:cs="Times New Roman"/>
                <w:sz w:val="24"/>
                <w:szCs w:val="24"/>
              </w:rPr>
              <w:t>Complex numerical process-based</w:t>
            </w:r>
          </w:p>
        </w:tc>
        <w:tc>
          <w:tcPr>
            <w:tcW w:w="1530" w:type="dxa"/>
            <w:tcBorders>
              <w:top w:val="nil"/>
              <w:left w:val="nil"/>
              <w:bottom w:val="nil"/>
              <w:right w:val="nil"/>
            </w:tcBorders>
            <w:vAlign w:val="center"/>
          </w:tcPr>
          <w:p w:rsidR="00861E8F" w:rsidRDefault="00861E8F" w:rsidP="00F2073A">
            <w:pPr>
              <w:jc w:val="center"/>
              <w:rPr>
                <w:rFonts w:ascii="Times New Roman" w:hAnsi="Times New Roman" w:cs="Times New Roman"/>
              </w:rPr>
            </w:pPr>
            <w:r w:rsidRPr="00DD701B">
              <w:rPr>
                <w:rFonts w:ascii="Times New Roman" w:hAnsi="Times New Roman" w:cs="Times New Roman"/>
              </w:rPr>
              <w:t>Driver, parameter, process</w:t>
            </w:r>
          </w:p>
          <w:p w:rsidR="00861E8F" w:rsidRPr="00DD701B" w:rsidRDefault="00861E8F" w:rsidP="00F2073A">
            <w:pPr>
              <w:jc w:val="center"/>
              <w:rPr>
                <w:rFonts w:ascii="Times New Roman" w:hAnsi="Times New Roman" w:cs="Times New Roman"/>
              </w:rPr>
            </w:pPr>
          </w:p>
        </w:tc>
        <w:tc>
          <w:tcPr>
            <w:tcW w:w="1710" w:type="dxa"/>
            <w:tcBorders>
              <w:top w:val="nil"/>
              <w:left w:val="nil"/>
              <w:bottom w:val="nil"/>
              <w:right w:val="nil"/>
            </w:tcBorders>
            <w:vAlign w:val="center"/>
          </w:tcPr>
          <w:p w:rsidR="00861E8F" w:rsidRDefault="00861E8F" w:rsidP="00F2073A">
            <w:pPr>
              <w:jc w:val="center"/>
              <w:rPr>
                <w:rFonts w:ascii="Times New Roman" w:hAnsi="Times New Roman" w:cs="Times New Roman"/>
                <w:sz w:val="24"/>
                <w:szCs w:val="24"/>
              </w:rPr>
            </w:pPr>
            <w:r>
              <w:rPr>
                <w:rFonts w:ascii="Times New Roman" w:hAnsi="Times New Roman" w:cs="Times New Roman"/>
                <w:sz w:val="24"/>
                <w:szCs w:val="24"/>
              </w:rPr>
              <w:t>Process</w:t>
            </w:r>
          </w:p>
        </w:tc>
      </w:tr>
      <w:tr w:rsidR="00861E8F" w:rsidTr="00F2073A">
        <w:trPr>
          <w:jc w:val="center"/>
        </w:trPr>
        <w:tc>
          <w:tcPr>
            <w:tcW w:w="3055" w:type="dxa"/>
            <w:tcBorders>
              <w:top w:val="nil"/>
              <w:left w:val="nil"/>
              <w:bottom w:val="nil"/>
              <w:right w:val="nil"/>
            </w:tcBorders>
            <w:vAlign w:val="center"/>
          </w:tcPr>
          <w:p w:rsidR="00861E8F" w:rsidRDefault="00861E8F" w:rsidP="00F2073A">
            <w:pPr>
              <w:ind w:right="-720"/>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{"citationItems":[{"id":"ITEM-1","itemData":{"author":[{"dropping-particle":"","family":"Thomas","given":"R. Quinn","non-dropping-particle":"","parse-names":false,"suffix":""},{"dropping-particle":"","family":"Others!!","given":"","non-dropping-particle":"","parse-names":false,"suffix":""}],"container-title":"TBD","id":"ITEM-1","issued":{"date-parts":[["2020"]]},"title":"FLARE paper placeholder","type":"article-journal","volume":"in prep"},"uris":["http://www.mendeley.com/documents/?uuid=e5061213-d527-42a8-9aca-25afc3068967"]}],"mendeley":{"formattedCitation":"(Thomas and Others!! 2020)","plainTextFormattedCitation":"(Thomas and Others!! 2020)","previouslyFormattedCitation":"(Thomas and Others!! 2020)"},"properties":{"noteIndex":0},"schema":"https://github.com/citation-style-language/schema/raw/master/csl-citation.json"}</w:instrText>
            </w:r>
            <w:r>
              <w:rPr>
                <w:rFonts w:ascii="Times New Roman" w:hAnsi="Times New Roman" w:cs="Times New Roman"/>
                <w:sz w:val="24"/>
                <w:szCs w:val="24"/>
              </w:rPr>
              <w:fldChar w:fldCharType="separate"/>
            </w:r>
            <w:r w:rsidRPr="002E5E0B">
              <w:rPr>
                <w:rFonts w:ascii="Times New Roman" w:hAnsi="Times New Roman" w:cs="Times New Roman"/>
                <w:noProof/>
                <w:sz w:val="24"/>
                <w:szCs w:val="24"/>
              </w:rPr>
              <w:t>(Thomas and Others!! 2020)</w:t>
            </w:r>
            <w:r>
              <w:rPr>
                <w:rFonts w:ascii="Times New Roman" w:hAnsi="Times New Roman" w:cs="Times New Roman"/>
                <w:sz w:val="24"/>
                <w:szCs w:val="24"/>
              </w:rPr>
              <w:fldChar w:fldCharType="end"/>
            </w:r>
          </w:p>
        </w:tc>
        <w:tc>
          <w:tcPr>
            <w:tcW w:w="1620" w:type="dxa"/>
            <w:tcBorders>
              <w:top w:val="nil"/>
              <w:left w:val="nil"/>
              <w:bottom w:val="nil"/>
              <w:right w:val="nil"/>
            </w:tcBorders>
            <w:vAlign w:val="center"/>
          </w:tcPr>
          <w:p w:rsidR="00861E8F" w:rsidRDefault="00861E8F" w:rsidP="00F2073A">
            <w:pPr>
              <w:ind w:right="27"/>
              <w:jc w:val="center"/>
              <w:rPr>
                <w:rFonts w:ascii="Times New Roman" w:hAnsi="Times New Roman" w:cs="Times New Roman"/>
                <w:sz w:val="24"/>
                <w:szCs w:val="24"/>
              </w:rPr>
            </w:pPr>
            <w:r>
              <w:rPr>
                <w:rFonts w:ascii="Times New Roman" w:hAnsi="Times New Roman" w:cs="Times New Roman"/>
                <w:sz w:val="24"/>
                <w:szCs w:val="24"/>
              </w:rPr>
              <w:t>Lake</w:t>
            </w:r>
          </w:p>
        </w:tc>
        <w:tc>
          <w:tcPr>
            <w:tcW w:w="2520" w:type="dxa"/>
            <w:tcBorders>
              <w:top w:val="nil"/>
              <w:left w:val="nil"/>
              <w:bottom w:val="nil"/>
              <w:right w:val="nil"/>
            </w:tcBorders>
            <w:vAlign w:val="center"/>
          </w:tcPr>
          <w:p w:rsidR="00861E8F" w:rsidRDefault="00861E8F" w:rsidP="00F2073A">
            <w:pPr>
              <w:ind w:right="28"/>
              <w:jc w:val="center"/>
              <w:rPr>
                <w:rFonts w:ascii="Times New Roman" w:hAnsi="Times New Roman" w:cs="Times New Roman"/>
                <w:sz w:val="24"/>
                <w:szCs w:val="24"/>
              </w:rPr>
            </w:pPr>
            <w:r>
              <w:rPr>
                <w:rFonts w:ascii="Times New Roman" w:hAnsi="Times New Roman" w:cs="Times New Roman"/>
                <w:sz w:val="24"/>
                <w:szCs w:val="24"/>
              </w:rPr>
              <w:t>Water temperature</w:t>
            </w:r>
          </w:p>
        </w:tc>
        <w:tc>
          <w:tcPr>
            <w:tcW w:w="1440" w:type="dxa"/>
            <w:tcBorders>
              <w:top w:val="nil"/>
              <w:left w:val="nil"/>
              <w:bottom w:val="nil"/>
              <w:right w:val="nil"/>
            </w:tcBorders>
            <w:vAlign w:val="center"/>
          </w:tcPr>
          <w:p w:rsidR="00861E8F" w:rsidRDefault="00861E8F" w:rsidP="00F2073A">
            <w:pPr>
              <w:ind w:right="14"/>
              <w:jc w:val="center"/>
              <w:rPr>
                <w:rFonts w:ascii="Times New Roman" w:hAnsi="Times New Roman" w:cs="Times New Roman"/>
                <w:sz w:val="24"/>
                <w:szCs w:val="24"/>
              </w:rPr>
            </w:pPr>
            <w:r>
              <w:rPr>
                <w:rFonts w:ascii="Times New Roman" w:hAnsi="Times New Roman" w:cs="Times New Roman"/>
                <w:sz w:val="24"/>
                <w:szCs w:val="24"/>
              </w:rPr>
              <w:t>Daily</w:t>
            </w:r>
          </w:p>
        </w:tc>
        <w:tc>
          <w:tcPr>
            <w:tcW w:w="2970" w:type="dxa"/>
            <w:tcBorders>
              <w:top w:val="nil"/>
              <w:left w:val="nil"/>
              <w:bottom w:val="nil"/>
              <w:right w:val="nil"/>
            </w:tcBorders>
            <w:vAlign w:val="center"/>
          </w:tcPr>
          <w:p w:rsidR="00861E8F" w:rsidRPr="00656C21" w:rsidRDefault="00861E8F" w:rsidP="00F2073A">
            <w:pPr>
              <w:jc w:val="center"/>
              <w:rPr>
                <w:rFonts w:ascii="Times New Roman" w:hAnsi="Times New Roman" w:cs="Times New Roman"/>
                <w:sz w:val="24"/>
                <w:szCs w:val="24"/>
              </w:rPr>
            </w:pPr>
            <w:r w:rsidRPr="00656C21">
              <w:rPr>
                <w:rFonts w:ascii="Times New Roman" w:hAnsi="Times New Roman" w:cs="Times New Roman"/>
                <w:sz w:val="24"/>
                <w:szCs w:val="24"/>
              </w:rPr>
              <w:t>Complex numerical process-based</w:t>
            </w:r>
          </w:p>
        </w:tc>
        <w:tc>
          <w:tcPr>
            <w:tcW w:w="1530" w:type="dxa"/>
            <w:tcBorders>
              <w:top w:val="nil"/>
              <w:left w:val="nil"/>
              <w:bottom w:val="nil"/>
              <w:right w:val="nil"/>
            </w:tcBorders>
            <w:vAlign w:val="center"/>
          </w:tcPr>
          <w:p w:rsidR="00861E8F" w:rsidRDefault="00861E8F" w:rsidP="00F2073A">
            <w:pPr>
              <w:jc w:val="center"/>
              <w:rPr>
                <w:rFonts w:ascii="Times New Roman" w:hAnsi="Times New Roman" w:cs="Times New Roman"/>
              </w:rPr>
            </w:pPr>
            <w:r w:rsidRPr="00DD701B">
              <w:rPr>
                <w:rFonts w:ascii="Times New Roman" w:hAnsi="Times New Roman" w:cs="Times New Roman"/>
              </w:rPr>
              <w:t>Driver, IC, parameter, process</w:t>
            </w:r>
          </w:p>
          <w:p w:rsidR="00861E8F" w:rsidRPr="00DD701B" w:rsidRDefault="00861E8F" w:rsidP="00F2073A">
            <w:pPr>
              <w:jc w:val="center"/>
              <w:rPr>
                <w:rFonts w:ascii="Times New Roman" w:hAnsi="Times New Roman" w:cs="Times New Roman"/>
              </w:rPr>
            </w:pPr>
          </w:p>
        </w:tc>
        <w:tc>
          <w:tcPr>
            <w:tcW w:w="1710" w:type="dxa"/>
            <w:tcBorders>
              <w:top w:val="nil"/>
              <w:left w:val="nil"/>
              <w:bottom w:val="nil"/>
              <w:right w:val="nil"/>
            </w:tcBorders>
            <w:vAlign w:val="center"/>
          </w:tcPr>
          <w:p w:rsidR="00861E8F" w:rsidRDefault="00861E8F" w:rsidP="00F2073A">
            <w:pPr>
              <w:jc w:val="center"/>
              <w:rPr>
                <w:rFonts w:ascii="Times New Roman" w:hAnsi="Times New Roman" w:cs="Times New Roman"/>
                <w:sz w:val="24"/>
                <w:szCs w:val="24"/>
              </w:rPr>
            </w:pPr>
            <w:r>
              <w:rPr>
                <w:rFonts w:ascii="Times New Roman" w:hAnsi="Times New Roman" w:cs="Times New Roman"/>
                <w:sz w:val="24"/>
                <w:szCs w:val="24"/>
              </w:rPr>
              <w:t>Driver</w:t>
            </w:r>
          </w:p>
        </w:tc>
      </w:tr>
      <w:tr w:rsidR="00861E8F" w:rsidTr="00F2073A">
        <w:trPr>
          <w:jc w:val="center"/>
        </w:trPr>
        <w:tc>
          <w:tcPr>
            <w:tcW w:w="3055" w:type="dxa"/>
            <w:tcBorders>
              <w:top w:val="nil"/>
              <w:left w:val="nil"/>
              <w:bottom w:val="nil"/>
              <w:right w:val="nil"/>
            </w:tcBorders>
            <w:vAlign w:val="center"/>
          </w:tcPr>
          <w:p w:rsidR="00861E8F" w:rsidRDefault="00861E8F" w:rsidP="00F2073A">
            <w:pPr>
              <w:ind w:right="-720"/>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foreco.2009.06.056","author":[{"dropping-particle":"","family":"Wang","given":"Guangxing","non-dropping-particle":"","parse-names":false,"suffix":""},{"dropping-particle":"","family":"Oyana","given":"Tonny","non-dropping-particle":"","parse-names":false,"suffix":""},{"dropping-particle":"","family":"Zhang","given":"Maozhen","non-dropping-particle":"","parse-names":false,"suffix":""},{"dropping-particle":"","family":"Adu-prah","given":"Samuel","non-dropping-particle":"","parse-names":false,"suffix":""},{"dropping-particle":"","family":"Zeng","given":"Siqi","non-dropping-particle":"","parse-names":false,"suffix":""},{"dropping-particle":"","family":"Lin","given":"Hui","non-dropping-particle":"","parse-names":false,"suffix":""},{"dropping-particle":"","family":"Se","given":"Jiyun","non-dropping-particle":"","parse-names":false,"suffix":""}],"container-title":"Forest Ecology and Management","id":"ITEM-1","issued":{"date-parts":[["2009"]]},"page":"1275-1283","title":"Forest Ecology and Management Mapping and spatial uncertainty analysis of forest vegetation carbon by combining national forest inventory data and satellite images","type":"article-journal","volume":"258"},"uris":["http://www.mendeley.com/documents/?uuid=5e1e568d-7c8d-4615-9e1f-f4733e3a597f"]}],"mendeley":{"formattedCitation":"(Wang et al. 2009)","plainTextFormattedCitation":"(Wang et al. 2009)","previouslyFormattedCitation":"(Wang et al. 2009)"},"properties":{"noteIndex":0},"schema":"https://github.com/citation-style-language/schema/raw/master/csl-citation.json"}</w:instrText>
            </w:r>
            <w:r>
              <w:rPr>
                <w:rFonts w:ascii="Times New Roman" w:hAnsi="Times New Roman" w:cs="Times New Roman"/>
                <w:sz w:val="24"/>
                <w:szCs w:val="24"/>
              </w:rPr>
              <w:fldChar w:fldCharType="separate"/>
            </w:r>
            <w:r w:rsidRPr="002E5E0B">
              <w:rPr>
                <w:rFonts w:ascii="Times New Roman" w:hAnsi="Times New Roman" w:cs="Times New Roman"/>
                <w:noProof/>
                <w:sz w:val="24"/>
                <w:szCs w:val="24"/>
              </w:rPr>
              <w:t>(Wang et al. 2009)</w:t>
            </w:r>
            <w:r>
              <w:rPr>
                <w:rFonts w:ascii="Times New Roman" w:hAnsi="Times New Roman" w:cs="Times New Roman"/>
                <w:sz w:val="24"/>
                <w:szCs w:val="24"/>
              </w:rPr>
              <w:fldChar w:fldCharType="end"/>
            </w:r>
          </w:p>
        </w:tc>
        <w:tc>
          <w:tcPr>
            <w:tcW w:w="1620" w:type="dxa"/>
            <w:tcBorders>
              <w:top w:val="nil"/>
              <w:left w:val="nil"/>
              <w:bottom w:val="nil"/>
              <w:right w:val="nil"/>
            </w:tcBorders>
            <w:vAlign w:val="center"/>
          </w:tcPr>
          <w:p w:rsidR="00861E8F" w:rsidRDefault="00861E8F" w:rsidP="00F2073A">
            <w:pPr>
              <w:ind w:right="27"/>
              <w:jc w:val="center"/>
              <w:rPr>
                <w:rFonts w:ascii="Times New Roman" w:hAnsi="Times New Roman" w:cs="Times New Roman"/>
                <w:sz w:val="24"/>
                <w:szCs w:val="24"/>
              </w:rPr>
            </w:pPr>
            <w:r>
              <w:rPr>
                <w:rFonts w:ascii="Times New Roman" w:hAnsi="Times New Roman" w:cs="Times New Roman"/>
                <w:sz w:val="24"/>
                <w:szCs w:val="24"/>
              </w:rPr>
              <w:t>Forest</w:t>
            </w:r>
          </w:p>
        </w:tc>
        <w:tc>
          <w:tcPr>
            <w:tcW w:w="2520" w:type="dxa"/>
            <w:tcBorders>
              <w:top w:val="nil"/>
              <w:left w:val="nil"/>
              <w:bottom w:val="nil"/>
              <w:right w:val="nil"/>
            </w:tcBorders>
            <w:vAlign w:val="center"/>
          </w:tcPr>
          <w:p w:rsidR="00861E8F" w:rsidRDefault="00861E8F" w:rsidP="00F2073A">
            <w:pPr>
              <w:ind w:right="28"/>
              <w:jc w:val="center"/>
              <w:rPr>
                <w:rFonts w:ascii="Times New Roman" w:hAnsi="Times New Roman" w:cs="Times New Roman"/>
                <w:sz w:val="24"/>
                <w:szCs w:val="24"/>
              </w:rPr>
            </w:pPr>
            <w:r>
              <w:rPr>
                <w:rFonts w:ascii="Times New Roman" w:hAnsi="Times New Roman" w:cs="Times New Roman"/>
                <w:sz w:val="24"/>
                <w:szCs w:val="24"/>
              </w:rPr>
              <w:t>Forest carbon</w:t>
            </w:r>
          </w:p>
        </w:tc>
        <w:tc>
          <w:tcPr>
            <w:tcW w:w="1440" w:type="dxa"/>
            <w:tcBorders>
              <w:top w:val="nil"/>
              <w:left w:val="nil"/>
              <w:bottom w:val="nil"/>
              <w:right w:val="nil"/>
            </w:tcBorders>
            <w:vAlign w:val="center"/>
          </w:tcPr>
          <w:p w:rsidR="00861E8F" w:rsidRDefault="00861E8F" w:rsidP="00F2073A">
            <w:pPr>
              <w:ind w:right="14"/>
              <w:jc w:val="center"/>
              <w:rPr>
                <w:rFonts w:ascii="Times New Roman" w:hAnsi="Times New Roman" w:cs="Times New Roman"/>
                <w:sz w:val="24"/>
                <w:szCs w:val="24"/>
              </w:rPr>
            </w:pPr>
            <w:r>
              <w:rPr>
                <w:rFonts w:ascii="Times New Roman" w:hAnsi="Times New Roman" w:cs="Times New Roman"/>
                <w:sz w:val="24"/>
                <w:szCs w:val="24"/>
              </w:rPr>
              <w:t>Spatial</w:t>
            </w:r>
          </w:p>
        </w:tc>
        <w:tc>
          <w:tcPr>
            <w:tcW w:w="2970" w:type="dxa"/>
            <w:tcBorders>
              <w:top w:val="nil"/>
              <w:left w:val="nil"/>
              <w:bottom w:val="nil"/>
              <w:right w:val="nil"/>
            </w:tcBorders>
            <w:vAlign w:val="center"/>
          </w:tcPr>
          <w:p w:rsidR="00861E8F" w:rsidRPr="00656C21" w:rsidRDefault="00861E8F" w:rsidP="00F2073A">
            <w:pPr>
              <w:jc w:val="center"/>
              <w:rPr>
                <w:rFonts w:ascii="Times New Roman" w:hAnsi="Times New Roman" w:cs="Times New Roman"/>
                <w:sz w:val="24"/>
                <w:szCs w:val="24"/>
              </w:rPr>
            </w:pPr>
            <w:r w:rsidRPr="00656C21">
              <w:rPr>
                <w:rFonts w:ascii="Times New Roman" w:hAnsi="Times New Roman" w:cs="Times New Roman"/>
                <w:sz w:val="24"/>
                <w:szCs w:val="24"/>
              </w:rPr>
              <w:t>Kriging algorithm</w:t>
            </w:r>
          </w:p>
        </w:tc>
        <w:tc>
          <w:tcPr>
            <w:tcW w:w="1530" w:type="dxa"/>
            <w:tcBorders>
              <w:top w:val="nil"/>
              <w:left w:val="nil"/>
              <w:bottom w:val="nil"/>
              <w:right w:val="nil"/>
            </w:tcBorders>
            <w:vAlign w:val="center"/>
          </w:tcPr>
          <w:p w:rsidR="00861E8F" w:rsidRDefault="00861E8F" w:rsidP="00F2073A">
            <w:pPr>
              <w:jc w:val="center"/>
              <w:rPr>
                <w:rFonts w:ascii="Times New Roman" w:hAnsi="Times New Roman" w:cs="Times New Roman"/>
              </w:rPr>
            </w:pPr>
            <w:r w:rsidRPr="00DD701B">
              <w:rPr>
                <w:rFonts w:ascii="Times New Roman" w:hAnsi="Times New Roman" w:cs="Times New Roman"/>
              </w:rPr>
              <w:t>Driver (different sources)</w:t>
            </w:r>
          </w:p>
          <w:p w:rsidR="00861E8F" w:rsidRPr="00DD701B" w:rsidRDefault="00861E8F" w:rsidP="00F2073A">
            <w:pPr>
              <w:jc w:val="center"/>
              <w:rPr>
                <w:rFonts w:ascii="Times New Roman" w:hAnsi="Times New Roman" w:cs="Times New Roman"/>
              </w:rPr>
            </w:pPr>
          </w:p>
        </w:tc>
        <w:tc>
          <w:tcPr>
            <w:tcW w:w="1710" w:type="dxa"/>
            <w:tcBorders>
              <w:top w:val="nil"/>
              <w:left w:val="nil"/>
              <w:bottom w:val="nil"/>
              <w:right w:val="nil"/>
            </w:tcBorders>
            <w:vAlign w:val="center"/>
          </w:tcPr>
          <w:p w:rsidR="00861E8F" w:rsidRDefault="00861E8F" w:rsidP="00F2073A">
            <w:pPr>
              <w:jc w:val="center"/>
              <w:rPr>
                <w:rFonts w:ascii="Times New Roman" w:hAnsi="Times New Roman" w:cs="Times New Roman"/>
                <w:sz w:val="24"/>
                <w:szCs w:val="24"/>
              </w:rPr>
            </w:pPr>
            <w:r>
              <w:rPr>
                <w:rFonts w:ascii="Times New Roman" w:hAnsi="Times New Roman" w:cs="Times New Roman"/>
                <w:sz w:val="24"/>
                <w:szCs w:val="24"/>
              </w:rPr>
              <w:t>Driver (satellite data)</w:t>
            </w:r>
          </w:p>
        </w:tc>
      </w:tr>
      <w:tr w:rsidR="00861E8F" w:rsidTr="00F2073A">
        <w:trPr>
          <w:jc w:val="center"/>
        </w:trPr>
        <w:tc>
          <w:tcPr>
            <w:tcW w:w="3055" w:type="dxa"/>
            <w:tcBorders>
              <w:top w:val="nil"/>
              <w:left w:val="nil"/>
              <w:bottom w:val="nil"/>
              <w:right w:val="nil"/>
            </w:tcBorders>
            <w:vAlign w:val="center"/>
          </w:tcPr>
          <w:p w:rsidR="00861E8F" w:rsidRDefault="00861E8F" w:rsidP="00F2073A">
            <w:pPr>
              <w:ind w:right="-720"/>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{"citationItems":[{"id":"ITEM-1","itemData":{"DOI":"10.1016/j.ecolmodel.2015.03.017","author":[{"dropping-particle":"","family":"Watling","given":"James I","non-dropping-particle":"","parse-names":false,"suffix":""},{"dropping-particle":"","family":"Brandt","given":"Laura A","non-dropping-particle":"","parse-names":false,"suffix":""},{"dropping-particle":"","family":"Bucklin","given":"David N","non-dropping-particle":"","parse-names":false,"suffix":""},{"dropping-particle":"","family":"Fujisaki","given":"Ikuko","non-dropping-particle":"","parse-names":false,"suffix":""},{"dropping-particle":"","family":"Mazzotti","given":"Frank J","non-dropping-particle":"","parse-names":false,"suffix":""},{"dropping-particle":"","family":"Roma","given":"Stephanie S","non-dropping-particle":"","parse-names":false,"suffix":""},{"dropping-particle":"","family":"Speroterra","given":"Carolina","non-dropping-particle":"","parse-names":false,"suffix":""}],"container-title":"Ecological Modelling","id":"ITEM-1","issued":{"date-parts":[["2015"]]},"page":"48-59","title":"Performance metrics and variance partitioning reveal sources of uncertainty in species distribution models","type":"article-journal","volume":"309-310"},"uris":["http://www.mendeley.com/documents/?uuid=4604a1ca-f6e5-4355-9b04-f015b5f17978"]}],"mendeley":{"formattedCitation":"(Watling et al. 2015)","plainTextFormattedCitation":"(Watling et al. 2015)","previouslyFormattedCitation":"(Watling et al. 2015)"},"properties":{"noteIndex":0},"schema":"https://github.com/citation-style-language/schema/raw/master/csl-citation.json"}</w:instrText>
            </w:r>
            <w:r>
              <w:rPr>
                <w:rFonts w:ascii="Times New Roman" w:hAnsi="Times New Roman" w:cs="Times New Roman"/>
                <w:sz w:val="24"/>
                <w:szCs w:val="24"/>
              </w:rPr>
              <w:fldChar w:fldCharType="separate"/>
            </w:r>
            <w:r w:rsidRPr="002E5E0B">
              <w:rPr>
                <w:rFonts w:ascii="Times New Roman" w:hAnsi="Times New Roman" w:cs="Times New Roman"/>
                <w:noProof/>
                <w:sz w:val="24"/>
                <w:szCs w:val="24"/>
              </w:rPr>
              <w:t>(Watling et al. 2015)</w:t>
            </w:r>
            <w:r>
              <w:rPr>
                <w:rFonts w:ascii="Times New Roman" w:hAnsi="Times New Roman" w:cs="Times New Roman"/>
                <w:sz w:val="24"/>
                <w:szCs w:val="24"/>
              </w:rPr>
              <w:fldChar w:fldCharType="end"/>
            </w:r>
          </w:p>
        </w:tc>
        <w:tc>
          <w:tcPr>
            <w:tcW w:w="1620" w:type="dxa"/>
            <w:tcBorders>
              <w:top w:val="nil"/>
              <w:left w:val="nil"/>
              <w:bottom w:val="nil"/>
              <w:right w:val="nil"/>
            </w:tcBorders>
            <w:vAlign w:val="center"/>
          </w:tcPr>
          <w:p w:rsidR="00861E8F" w:rsidRDefault="00861E8F" w:rsidP="00F2073A">
            <w:pPr>
              <w:ind w:right="27"/>
              <w:jc w:val="center"/>
              <w:rPr>
                <w:rFonts w:ascii="Times New Roman" w:hAnsi="Times New Roman" w:cs="Times New Roman"/>
                <w:sz w:val="24"/>
                <w:szCs w:val="24"/>
              </w:rPr>
            </w:pPr>
            <w:r>
              <w:rPr>
                <w:rFonts w:ascii="Times New Roman" w:hAnsi="Times New Roman" w:cs="Times New Roman"/>
                <w:sz w:val="24"/>
                <w:szCs w:val="24"/>
              </w:rPr>
              <w:t>Southeastern U.S.</w:t>
            </w:r>
          </w:p>
        </w:tc>
        <w:tc>
          <w:tcPr>
            <w:tcW w:w="2520" w:type="dxa"/>
            <w:tcBorders>
              <w:top w:val="nil"/>
              <w:left w:val="nil"/>
              <w:bottom w:val="nil"/>
              <w:right w:val="nil"/>
            </w:tcBorders>
            <w:vAlign w:val="center"/>
          </w:tcPr>
          <w:p w:rsidR="00861E8F" w:rsidRDefault="00861E8F" w:rsidP="00F2073A">
            <w:pPr>
              <w:ind w:right="28"/>
              <w:jc w:val="center"/>
              <w:rPr>
                <w:rFonts w:ascii="Times New Roman" w:hAnsi="Times New Roman" w:cs="Times New Roman"/>
                <w:sz w:val="24"/>
                <w:szCs w:val="24"/>
              </w:rPr>
            </w:pPr>
            <w:r>
              <w:rPr>
                <w:rFonts w:ascii="Times New Roman" w:hAnsi="Times New Roman" w:cs="Times New Roman"/>
                <w:sz w:val="24"/>
                <w:szCs w:val="24"/>
              </w:rPr>
              <w:t>Vertebrate species distribution</w:t>
            </w:r>
          </w:p>
        </w:tc>
        <w:tc>
          <w:tcPr>
            <w:tcW w:w="1440" w:type="dxa"/>
            <w:tcBorders>
              <w:top w:val="nil"/>
              <w:left w:val="nil"/>
              <w:bottom w:val="nil"/>
              <w:right w:val="nil"/>
            </w:tcBorders>
            <w:vAlign w:val="center"/>
          </w:tcPr>
          <w:p w:rsidR="00861E8F" w:rsidRDefault="00861E8F" w:rsidP="00F2073A">
            <w:pPr>
              <w:ind w:right="14"/>
              <w:jc w:val="center"/>
              <w:rPr>
                <w:rFonts w:ascii="Times New Roman" w:hAnsi="Times New Roman" w:cs="Times New Roman"/>
                <w:sz w:val="24"/>
                <w:szCs w:val="24"/>
              </w:rPr>
            </w:pPr>
            <w:r>
              <w:rPr>
                <w:rFonts w:ascii="Times New Roman" w:hAnsi="Times New Roman" w:cs="Times New Roman"/>
                <w:sz w:val="24"/>
                <w:szCs w:val="24"/>
              </w:rPr>
              <w:t>Multi-decadal</w:t>
            </w:r>
          </w:p>
        </w:tc>
        <w:tc>
          <w:tcPr>
            <w:tcW w:w="2970" w:type="dxa"/>
            <w:tcBorders>
              <w:top w:val="nil"/>
              <w:left w:val="nil"/>
              <w:bottom w:val="nil"/>
              <w:right w:val="nil"/>
            </w:tcBorders>
            <w:vAlign w:val="center"/>
          </w:tcPr>
          <w:p w:rsidR="00861E8F" w:rsidRPr="00656C21" w:rsidRDefault="00861E8F" w:rsidP="00F2073A">
            <w:pPr>
              <w:jc w:val="center"/>
              <w:rPr>
                <w:rFonts w:ascii="Times New Roman" w:hAnsi="Times New Roman" w:cs="Times New Roman"/>
                <w:sz w:val="24"/>
                <w:szCs w:val="24"/>
              </w:rPr>
            </w:pPr>
            <w:r>
              <w:rPr>
                <w:rFonts w:ascii="Times New Roman" w:hAnsi="Times New Roman" w:cs="Times New Roman"/>
                <w:sz w:val="24"/>
                <w:szCs w:val="24"/>
              </w:rPr>
              <w:t>Species distribution model</w:t>
            </w:r>
          </w:p>
        </w:tc>
        <w:tc>
          <w:tcPr>
            <w:tcW w:w="1530" w:type="dxa"/>
            <w:tcBorders>
              <w:top w:val="nil"/>
              <w:left w:val="nil"/>
              <w:bottom w:val="nil"/>
              <w:right w:val="nil"/>
            </w:tcBorders>
            <w:vAlign w:val="center"/>
          </w:tcPr>
          <w:p w:rsidR="00861E8F" w:rsidRPr="00DD701B" w:rsidRDefault="00861E8F" w:rsidP="00F2073A">
            <w:pPr>
              <w:jc w:val="center"/>
              <w:rPr>
                <w:rFonts w:ascii="Times New Roman" w:hAnsi="Times New Roman" w:cs="Times New Roman"/>
              </w:rPr>
            </w:pPr>
            <w:r w:rsidRPr="00DD701B">
              <w:rPr>
                <w:rFonts w:ascii="Times New Roman" w:hAnsi="Times New Roman" w:cs="Times New Roman"/>
              </w:rPr>
              <w:t>Driver, IC, process</w:t>
            </w:r>
          </w:p>
        </w:tc>
        <w:tc>
          <w:tcPr>
            <w:tcW w:w="1710" w:type="dxa"/>
            <w:tcBorders>
              <w:top w:val="nil"/>
              <w:left w:val="nil"/>
              <w:bottom w:val="nil"/>
              <w:right w:val="nil"/>
            </w:tcBorders>
            <w:vAlign w:val="center"/>
          </w:tcPr>
          <w:p w:rsidR="00861E8F" w:rsidRDefault="00861E8F" w:rsidP="00F2073A">
            <w:pPr>
              <w:jc w:val="center"/>
              <w:rPr>
                <w:rFonts w:ascii="Times New Roman" w:hAnsi="Times New Roman" w:cs="Times New Roman"/>
                <w:sz w:val="24"/>
                <w:szCs w:val="24"/>
              </w:rPr>
            </w:pPr>
            <w:r>
              <w:rPr>
                <w:rFonts w:ascii="Times New Roman" w:hAnsi="Times New Roman" w:cs="Times New Roman"/>
                <w:sz w:val="24"/>
                <w:szCs w:val="24"/>
              </w:rPr>
              <w:t>Process</w:t>
            </w:r>
          </w:p>
        </w:tc>
      </w:tr>
    </w:tbl>
    <w:p w:rsidR="00861E8F" w:rsidRDefault="00861E8F"/>
    <w:p w:rsidR="00861E8F" w:rsidRDefault="00861E8F" w:rsidP="00861E8F">
      <w:pPr>
        <w:tabs>
          <w:tab w:val="left" w:pos="7860"/>
        </w:tabs>
      </w:pPr>
      <w:bookmarkStart w:id="0" w:name="_GoBack"/>
      <w:bookmarkEnd w:id="0"/>
    </w:p>
    <w:p w:rsidR="00861E8F" w:rsidRPr="00861E8F" w:rsidRDefault="00861E8F" w:rsidP="00861E8F">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Pr="00861E8F">
        <w:rPr>
          <w:rFonts w:ascii="Calibri" w:hAnsi="Calibri" w:cs="Calibri"/>
          <w:noProof/>
          <w:szCs w:val="24"/>
        </w:rPr>
        <w:t>Dietze, M. C. 2017. Prediction in ecology: A first-principles framework: A. Ecological Applications 27:2048–2060.</w:t>
      </w:r>
    </w:p>
    <w:p w:rsidR="00861E8F" w:rsidRPr="00861E8F" w:rsidRDefault="00861E8F" w:rsidP="00861E8F">
      <w:pPr>
        <w:widowControl w:val="0"/>
        <w:autoSpaceDE w:val="0"/>
        <w:autoSpaceDN w:val="0"/>
        <w:adjustRightInd w:val="0"/>
        <w:spacing w:line="240" w:lineRule="auto"/>
        <w:ind w:left="480" w:hanging="480"/>
        <w:rPr>
          <w:rFonts w:ascii="Calibri" w:hAnsi="Calibri" w:cs="Calibri"/>
          <w:noProof/>
          <w:szCs w:val="24"/>
        </w:rPr>
      </w:pPr>
      <w:r w:rsidRPr="00861E8F">
        <w:rPr>
          <w:rFonts w:ascii="Calibri" w:hAnsi="Calibri" w:cs="Calibri"/>
          <w:noProof/>
          <w:szCs w:val="24"/>
        </w:rPr>
        <w:t>Diniz-Filho, A. F., L. M. Bini, T. F. Rangel, R. D. Loyola, C. Hof, D. Nogue, and M. B. Arau. 2009. Partitioning and mapping uncertainties in ensembles of forecasts of species turnover under climate change. Ecography 32:897–906.</w:t>
      </w:r>
    </w:p>
    <w:p w:rsidR="00861E8F" w:rsidRPr="00861E8F" w:rsidRDefault="00861E8F" w:rsidP="00861E8F">
      <w:pPr>
        <w:widowControl w:val="0"/>
        <w:autoSpaceDE w:val="0"/>
        <w:autoSpaceDN w:val="0"/>
        <w:adjustRightInd w:val="0"/>
        <w:spacing w:line="240" w:lineRule="auto"/>
        <w:ind w:left="480" w:hanging="480"/>
        <w:rPr>
          <w:rFonts w:ascii="Calibri" w:hAnsi="Calibri" w:cs="Calibri"/>
          <w:noProof/>
          <w:szCs w:val="24"/>
        </w:rPr>
      </w:pPr>
      <w:r w:rsidRPr="00861E8F">
        <w:rPr>
          <w:rFonts w:ascii="Calibri" w:hAnsi="Calibri" w:cs="Calibri"/>
          <w:noProof/>
          <w:szCs w:val="24"/>
        </w:rPr>
        <w:t>Fox, A. M., T. J. Hoar, J. L. Anderson, A. F. Arellano, W. K. Smith, M. E. Litvak, N. MacBean, D. S. Schimel, and D. J. P. Moore. 2018. Evaluation of a Data Assimilation System for Land Surface Models Using CLM4.5. Journal of Advances in Modeling Earth Systems 10:2471–2494.</w:t>
      </w:r>
    </w:p>
    <w:p w:rsidR="00861E8F" w:rsidRPr="00861E8F" w:rsidRDefault="00861E8F" w:rsidP="00861E8F">
      <w:pPr>
        <w:widowControl w:val="0"/>
        <w:autoSpaceDE w:val="0"/>
        <w:autoSpaceDN w:val="0"/>
        <w:adjustRightInd w:val="0"/>
        <w:spacing w:line="240" w:lineRule="auto"/>
        <w:ind w:left="480" w:hanging="480"/>
        <w:rPr>
          <w:rFonts w:ascii="Calibri" w:hAnsi="Calibri" w:cs="Calibri"/>
          <w:noProof/>
          <w:szCs w:val="24"/>
        </w:rPr>
      </w:pPr>
      <w:r w:rsidRPr="00861E8F">
        <w:rPr>
          <w:rFonts w:ascii="Calibri" w:hAnsi="Calibri" w:cs="Calibri"/>
          <w:noProof/>
          <w:szCs w:val="24"/>
        </w:rPr>
        <w:t>Gauthier, G., G. Peron, J.-D. Lebreton, P. Grenier, and L. van Oudanhove. 2016. Partitioning prediction uncertainty in climate-dependent population models. Proceedings of the Royal Society B 283.</w:t>
      </w:r>
    </w:p>
    <w:p w:rsidR="00861E8F" w:rsidRPr="00861E8F" w:rsidRDefault="00861E8F" w:rsidP="00861E8F">
      <w:pPr>
        <w:widowControl w:val="0"/>
        <w:autoSpaceDE w:val="0"/>
        <w:autoSpaceDN w:val="0"/>
        <w:adjustRightInd w:val="0"/>
        <w:spacing w:line="240" w:lineRule="auto"/>
        <w:ind w:left="480" w:hanging="480"/>
        <w:rPr>
          <w:rFonts w:ascii="Calibri" w:hAnsi="Calibri" w:cs="Calibri"/>
          <w:noProof/>
          <w:szCs w:val="24"/>
        </w:rPr>
      </w:pPr>
      <w:r w:rsidRPr="00861E8F">
        <w:rPr>
          <w:rFonts w:ascii="Calibri" w:hAnsi="Calibri" w:cs="Calibri"/>
          <w:noProof/>
          <w:szCs w:val="24"/>
        </w:rPr>
        <w:lastRenderedPageBreak/>
        <w:t>Gertner, G., P. Parysow, and B. Guan. 1996. Projection Variance Partitioning of a Conceptual Forest Growth Model with Orthogonal Polynomials. Forest Science 42:474–486.</w:t>
      </w:r>
    </w:p>
    <w:p w:rsidR="00861E8F" w:rsidRPr="00861E8F" w:rsidRDefault="00861E8F" w:rsidP="00861E8F">
      <w:pPr>
        <w:widowControl w:val="0"/>
        <w:autoSpaceDE w:val="0"/>
        <w:autoSpaceDN w:val="0"/>
        <w:adjustRightInd w:val="0"/>
        <w:spacing w:line="240" w:lineRule="auto"/>
        <w:ind w:left="480" w:hanging="480"/>
        <w:rPr>
          <w:rFonts w:ascii="Calibri" w:hAnsi="Calibri" w:cs="Calibri"/>
          <w:noProof/>
          <w:szCs w:val="24"/>
        </w:rPr>
      </w:pPr>
      <w:r w:rsidRPr="00861E8F">
        <w:rPr>
          <w:rFonts w:ascii="Calibri" w:hAnsi="Calibri" w:cs="Calibri"/>
          <w:noProof/>
          <w:szCs w:val="24"/>
        </w:rPr>
        <w:t>Jiang, J., Y. Huang, S. Ma, M. Stacy, Z. Shi, D. M. Ricciuto, P. J. Hanson, and Y. Luo. 2018. Forecasting Responses of a Northern Peatland Carbon Cycle to Elevated CO2 and a Gradient of Experimental Warming. Journal of Geophysical Research: Biogeosciences 123:1057–1071.</w:t>
      </w:r>
    </w:p>
    <w:p w:rsidR="00861E8F" w:rsidRPr="00861E8F" w:rsidRDefault="00861E8F" w:rsidP="00861E8F">
      <w:pPr>
        <w:widowControl w:val="0"/>
        <w:autoSpaceDE w:val="0"/>
        <w:autoSpaceDN w:val="0"/>
        <w:adjustRightInd w:val="0"/>
        <w:spacing w:line="240" w:lineRule="auto"/>
        <w:ind w:left="480" w:hanging="480"/>
        <w:rPr>
          <w:rFonts w:ascii="Calibri" w:hAnsi="Calibri" w:cs="Calibri"/>
          <w:noProof/>
          <w:szCs w:val="24"/>
        </w:rPr>
      </w:pPr>
      <w:r w:rsidRPr="00861E8F">
        <w:rPr>
          <w:rFonts w:ascii="Calibri" w:hAnsi="Calibri" w:cs="Calibri"/>
          <w:noProof/>
          <w:szCs w:val="24"/>
        </w:rPr>
        <w:t>Kim, K., M. Park, J. H. Min, I. Ryu, M. R. Kang, and L. J. Park. 2014. Simulation of algal bloom dynamics in a river with the ensemble Kalman filter. Journal of Hydrology 519:2810–2821.</w:t>
      </w:r>
    </w:p>
    <w:p w:rsidR="00861E8F" w:rsidRPr="00861E8F" w:rsidRDefault="00861E8F" w:rsidP="00861E8F">
      <w:pPr>
        <w:widowControl w:val="0"/>
        <w:autoSpaceDE w:val="0"/>
        <w:autoSpaceDN w:val="0"/>
        <w:adjustRightInd w:val="0"/>
        <w:spacing w:line="240" w:lineRule="auto"/>
        <w:ind w:left="480" w:hanging="480"/>
        <w:rPr>
          <w:rFonts w:ascii="Calibri" w:hAnsi="Calibri" w:cs="Calibri"/>
          <w:noProof/>
          <w:szCs w:val="24"/>
        </w:rPr>
      </w:pPr>
      <w:r w:rsidRPr="00861E8F">
        <w:rPr>
          <w:rFonts w:ascii="Calibri" w:hAnsi="Calibri" w:cs="Calibri"/>
          <w:noProof/>
          <w:szCs w:val="24"/>
        </w:rPr>
        <w:t>Mbogga, M. S., X. Wang, and A. Hamann. 2010. Bioclimate envelope model predictions for natural resource management : dealing with uncertainty. Journal of Applied Ecology 47:731–740.</w:t>
      </w:r>
    </w:p>
    <w:p w:rsidR="00861E8F" w:rsidRPr="00861E8F" w:rsidRDefault="00861E8F" w:rsidP="00861E8F">
      <w:pPr>
        <w:widowControl w:val="0"/>
        <w:autoSpaceDE w:val="0"/>
        <w:autoSpaceDN w:val="0"/>
        <w:adjustRightInd w:val="0"/>
        <w:spacing w:line="240" w:lineRule="auto"/>
        <w:ind w:left="480" w:hanging="480"/>
        <w:rPr>
          <w:rFonts w:ascii="Calibri" w:hAnsi="Calibri" w:cs="Calibri"/>
          <w:noProof/>
          <w:szCs w:val="24"/>
        </w:rPr>
      </w:pPr>
      <w:r w:rsidRPr="00861E8F">
        <w:rPr>
          <w:rFonts w:ascii="Calibri" w:hAnsi="Calibri" w:cs="Calibri"/>
          <w:noProof/>
          <w:szCs w:val="24"/>
        </w:rPr>
        <w:t>Ouellet-Proulx, S., O. Chimi Chiadjeu, M. A. Boucher, and A. St-Hilaire. 2017. Assimilation of water temperature and discharge data for ensemble water temperature forecasting. Journal of Hydrology 554:342–359.</w:t>
      </w:r>
    </w:p>
    <w:p w:rsidR="00861E8F" w:rsidRPr="00861E8F" w:rsidRDefault="00861E8F" w:rsidP="00861E8F">
      <w:pPr>
        <w:widowControl w:val="0"/>
        <w:autoSpaceDE w:val="0"/>
        <w:autoSpaceDN w:val="0"/>
        <w:adjustRightInd w:val="0"/>
        <w:spacing w:line="240" w:lineRule="auto"/>
        <w:ind w:left="480" w:hanging="480"/>
        <w:rPr>
          <w:rFonts w:ascii="Calibri" w:hAnsi="Calibri" w:cs="Calibri"/>
          <w:noProof/>
          <w:szCs w:val="24"/>
        </w:rPr>
      </w:pPr>
      <w:r w:rsidRPr="00861E8F">
        <w:rPr>
          <w:rFonts w:ascii="Calibri" w:hAnsi="Calibri" w:cs="Calibri"/>
          <w:noProof/>
          <w:szCs w:val="24"/>
        </w:rPr>
        <w:t>Page, T., P. J. Smith, K. J. Beven, I. D. Jones, J. A. Elliott, S. C. Maberly, E. B. Mackay, M. De Ville, and H. Feuchtmayr. 2017. Constraining uncertainty and process-representation in an algal community lake model using high frequency in-lake observations. Ecological Modelling 357:1–13.</w:t>
      </w:r>
    </w:p>
    <w:p w:rsidR="00861E8F" w:rsidRPr="00861E8F" w:rsidRDefault="00861E8F" w:rsidP="00861E8F">
      <w:pPr>
        <w:widowControl w:val="0"/>
        <w:autoSpaceDE w:val="0"/>
        <w:autoSpaceDN w:val="0"/>
        <w:adjustRightInd w:val="0"/>
        <w:spacing w:line="240" w:lineRule="auto"/>
        <w:ind w:left="480" w:hanging="480"/>
        <w:rPr>
          <w:rFonts w:ascii="Calibri" w:hAnsi="Calibri" w:cs="Calibri"/>
          <w:noProof/>
          <w:szCs w:val="24"/>
        </w:rPr>
      </w:pPr>
      <w:r w:rsidRPr="00861E8F">
        <w:rPr>
          <w:rFonts w:ascii="Calibri" w:hAnsi="Calibri" w:cs="Calibri"/>
          <w:noProof/>
          <w:szCs w:val="24"/>
        </w:rPr>
        <w:t>Raiho, A., M. Dietze, A. Dawson, C. Rollinson, J. Tipton, and J. McLachlan. 2020. Determinants of Predictability in Multi-decadal Forest Community and Carbon Dynamics. in prep for Global Change Biology.</w:t>
      </w:r>
    </w:p>
    <w:p w:rsidR="00861E8F" w:rsidRPr="00861E8F" w:rsidRDefault="00861E8F" w:rsidP="00861E8F">
      <w:pPr>
        <w:widowControl w:val="0"/>
        <w:autoSpaceDE w:val="0"/>
        <w:autoSpaceDN w:val="0"/>
        <w:adjustRightInd w:val="0"/>
        <w:spacing w:line="240" w:lineRule="auto"/>
        <w:ind w:left="480" w:hanging="480"/>
        <w:rPr>
          <w:rFonts w:ascii="Calibri" w:hAnsi="Calibri" w:cs="Calibri"/>
          <w:noProof/>
          <w:szCs w:val="24"/>
        </w:rPr>
      </w:pPr>
      <w:r w:rsidRPr="00861E8F">
        <w:rPr>
          <w:rFonts w:ascii="Calibri" w:hAnsi="Calibri" w:cs="Calibri"/>
          <w:noProof/>
          <w:szCs w:val="24"/>
        </w:rPr>
        <w:t>Thomas, R. Q., A. L. Jersild, E. B. Brooks, V. A. Thomas, and R. H. Wynne. 2018. A mid-century ecological forecast with partitioned uncertainty predicts increases in loblolly pine forest productivity. Ecological Applications 28:1503–1519.</w:t>
      </w:r>
    </w:p>
    <w:p w:rsidR="00861E8F" w:rsidRPr="00861E8F" w:rsidRDefault="00861E8F" w:rsidP="00861E8F">
      <w:pPr>
        <w:widowControl w:val="0"/>
        <w:autoSpaceDE w:val="0"/>
        <w:autoSpaceDN w:val="0"/>
        <w:adjustRightInd w:val="0"/>
        <w:spacing w:line="240" w:lineRule="auto"/>
        <w:ind w:left="480" w:hanging="480"/>
        <w:rPr>
          <w:rFonts w:ascii="Calibri" w:hAnsi="Calibri" w:cs="Calibri"/>
          <w:noProof/>
          <w:szCs w:val="24"/>
        </w:rPr>
      </w:pPr>
      <w:r w:rsidRPr="00861E8F">
        <w:rPr>
          <w:rFonts w:ascii="Calibri" w:hAnsi="Calibri" w:cs="Calibri"/>
          <w:noProof/>
          <w:szCs w:val="24"/>
        </w:rPr>
        <w:t>Thomas, R. Q., and Others!! 2020. FLARE paper placeholder. TBD in prep.</w:t>
      </w:r>
    </w:p>
    <w:p w:rsidR="00861E8F" w:rsidRPr="00861E8F" w:rsidRDefault="00861E8F" w:rsidP="00861E8F">
      <w:pPr>
        <w:widowControl w:val="0"/>
        <w:autoSpaceDE w:val="0"/>
        <w:autoSpaceDN w:val="0"/>
        <w:adjustRightInd w:val="0"/>
        <w:spacing w:line="240" w:lineRule="auto"/>
        <w:ind w:left="480" w:hanging="480"/>
        <w:rPr>
          <w:rFonts w:ascii="Calibri" w:hAnsi="Calibri" w:cs="Calibri"/>
          <w:noProof/>
          <w:szCs w:val="24"/>
        </w:rPr>
      </w:pPr>
      <w:r w:rsidRPr="00861E8F">
        <w:rPr>
          <w:rFonts w:ascii="Calibri" w:hAnsi="Calibri" w:cs="Calibri"/>
          <w:noProof/>
          <w:szCs w:val="24"/>
        </w:rPr>
        <w:t>Wang, G., T. Oyana, M. Zhang, S. Adu-prah, S. Zeng, H. Lin, and J. Se. 2009. Forest Ecology and Management Mapping and spatial uncertainty analysis of forest vegetation carbon by combining national forest inventory data and satellite images. Forest Ecology and Management 258:1275–1283.</w:t>
      </w:r>
    </w:p>
    <w:p w:rsidR="00861E8F" w:rsidRPr="00861E8F" w:rsidRDefault="00861E8F" w:rsidP="00861E8F">
      <w:pPr>
        <w:widowControl w:val="0"/>
        <w:autoSpaceDE w:val="0"/>
        <w:autoSpaceDN w:val="0"/>
        <w:adjustRightInd w:val="0"/>
        <w:spacing w:line="240" w:lineRule="auto"/>
        <w:ind w:left="480" w:hanging="480"/>
        <w:rPr>
          <w:rFonts w:ascii="Calibri" w:hAnsi="Calibri" w:cs="Calibri"/>
          <w:noProof/>
        </w:rPr>
      </w:pPr>
      <w:r w:rsidRPr="00861E8F">
        <w:rPr>
          <w:rFonts w:ascii="Calibri" w:hAnsi="Calibri" w:cs="Calibri"/>
          <w:noProof/>
          <w:szCs w:val="24"/>
        </w:rPr>
        <w:t>Watling, J. I., L. A. Brandt, D. N. Bucklin, I. Fujisaki, F. J. Mazzotti, S. S. Roma, and C. Speroterra. 2015. Performance metrics and variance partitioning reveal sources of uncertainty in species distribution models. Ecological Modelling 309–310:48–59.</w:t>
      </w:r>
    </w:p>
    <w:p w:rsidR="00861E8F" w:rsidRPr="00861E8F" w:rsidRDefault="00861E8F" w:rsidP="00861E8F">
      <w:pPr>
        <w:tabs>
          <w:tab w:val="left" w:pos="7860"/>
        </w:tabs>
      </w:pPr>
      <w:r>
        <w:fldChar w:fldCharType="end"/>
      </w:r>
    </w:p>
    <w:sectPr w:rsidR="00861E8F" w:rsidRPr="00861E8F" w:rsidSect="00861E8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E8F"/>
    <w:rsid w:val="00861E8F"/>
    <w:rsid w:val="00E34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32F4A5-F692-4985-BA5F-6B95AE0BA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61E8F"/>
    <w:pPr>
      <w:spacing w:after="0" w:line="240" w:lineRule="auto"/>
    </w:pPr>
    <w:rPr>
      <w:rFonts w:ascii="Arial" w:eastAsia="Arial" w:hAnsi="Arial" w:cs="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88DD1-EDD0-4DBD-8BCE-BDE122276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5665</Words>
  <Characters>32296</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Lofton</dc:creator>
  <cp:keywords/>
  <dc:description/>
  <cp:lastModifiedBy>Mary Lofton</cp:lastModifiedBy>
  <cp:revision>1</cp:revision>
  <dcterms:created xsi:type="dcterms:W3CDTF">2020-06-03T03:45:00Z</dcterms:created>
  <dcterms:modified xsi:type="dcterms:W3CDTF">2020-06-03T03:47:00Z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43cca4cb-f260-3c4c-83a3-9addcf757ca7</vt:lpwstr>
  </property>
  <property fmtid="{D5CDD505-2E9C-101B-9397-08002B2CF9AE}" pid="4" name="Mendeley Citation Style_1">
    <vt:lpwstr>http://www.zotero.org/styles/ecological-applications</vt:lpwstr>
  </property>
</Properties>
</file>