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1765" w14:textId="77777777" w:rsidR="00B900BF" w:rsidRPr="00191BF5" w:rsidRDefault="00B900BF" w:rsidP="00B900BF">
      <w:pPr>
        <w:rPr>
          <w:rFonts w:asciiTheme="majorHAnsi" w:hAnsiTheme="majorHAnsi" w:cstheme="majorHAnsi"/>
        </w:rPr>
      </w:pPr>
      <w:r w:rsidRPr="00191BF5">
        <w:rPr>
          <w:rFonts w:asciiTheme="majorHAnsi" w:hAnsiTheme="majorHAnsi" w:cstheme="majorHAnsi"/>
        </w:rPr>
        <w:t>Whitney Woelmer, Master’s Prospectus Outline</w:t>
      </w:r>
    </w:p>
    <w:p w14:paraId="6F8E1E35" w14:textId="77777777" w:rsidR="00284411" w:rsidRPr="00BE0607" w:rsidRDefault="00FB7532" w:rsidP="00B900BF">
      <w:pPr>
        <w:rPr>
          <w:rFonts w:asciiTheme="majorHAnsi" w:hAnsiTheme="majorHAnsi" w:cstheme="majorHAnsi"/>
          <w:b/>
          <w:u w:val="single"/>
        </w:rPr>
      </w:pPr>
      <w:r w:rsidRPr="00BE0607">
        <w:rPr>
          <w:rFonts w:asciiTheme="majorHAnsi" w:hAnsiTheme="majorHAnsi" w:cstheme="majorHAnsi"/>
          <w:b/>
          <w:u w:val="single"/>
        </w:rPr>
        <w:t xml:space="preserve">Overall </w:t>
      </w:r>
      <w:r w:rsidR="00284411" w:rsidRPr="00BE0607">
        <w:rPr>
          <w:rFonts w:asciiTheme="majorHAnsi" w:hAnsiTheme="majorHAnsi" w:cstheme="majorHAnsi"/>
          <w:b/>
          <w:u w:val="single"/>
        </w:rPr>
        <w:t>Introduction</w:t>
      </w:r>
    </w:p>
    <w:p w14:paraId="3A29D103" w14:textId="77777777" w:rsidR="00284411" w:rsidRPr="00191BF5" w:rsidRDefault="00B900BF" w:rsidP="00B900BF">
      <w:pPr>
        <w:pStyle w:val="ListParagraph"/>
        <w:numPr>
          <w:ilvl w:val="0"/>
          <w:numId w:val="4"/>
        </w:numPr>
        <w:rPr>
          <w:rFonts w:asciiTheme="majorHAnsi" w:hAnsiTheme="majorHAnsi" w:cstheme="majorHAnsi"/>
        </w:rPr>
      </w:pPr>
      <w:r w:rsidRPr="00191BF5">
        <w:rPr>
          <w:rFonts w:asciiTheme="majorHAnsi" w:hAnsiTheme="majorHAnsi" w:cstheme="majorHAnsi"/>
        </w:rPr>
        <w:t xml:space="preserve">Importance of freshwater </w:t>
      </w:r>
      <w:r w:rsidR="00D76467" w:rsidRPr="00191BF5">
        <w:rPr>
          <w:rFonts w:asciiTheme="majorHAnsi" w:hAnsiTheme="majorHAnsi" w:cstheme="majorHAnsi"/>
        </w:rPr>
        <w:t>ecosystems and the many services they provide (setting up why their water quality is so important, as well as</w:t>
      </w:r>
      <w:r w:rsidR="004D43A9" w:rsidRPr="00191BF5">
        <w:rPr>
          <w:rFonts w:asciiTheme="majorHAnsi" w:hAnsiTheme="majorHAnsi" w:cstheme="majorHAnsi"/>
        </w:rPr>
        <w:t xml:space="preserve"> </w:t>
      </w:r>
      <w:r w:rsidR="00605F86" w:rsidRPr="00191BF5">
        <w:rPr>
          <w:rFonts w:asciiTheme="majorHAnsi" w:hAnsiTheme="majorHAnsi" w:cstheme="majorHAnsi"/>
        </w:rPr>
        <w:t>what services are the highest priority- e.g., clean water for drinking, etc.)</w:t>
      </w:r>
    </w:p>
    <w:p w14:paraId="7144405F" w14:textId="029AA6CA" w:rsidR="00B900BF" w:rsidRPr="00191BF5" w:rsidRDefault="008E2132" w:rsidP="00B900BF">
      <w:pPr>
        <w:pStyle w:val="ListParagraph"/>
        <w:numPr>
          <w:ilvl w:val="0"/>
          <w:numId w:val="4"/>
        </w:numPr>
        <w:rPr>
          <w:rFonts w:asciiTheme="majorHAnsi" w:hAnsiTheme="majorHAnsi" w:cstheme="majorHAnsi"/>
        </w:rPr>
      </w:pPr>
      <w:commentRangeStart w:id="0"/>
      <w:r w:rsidRPr="00191BF5">
        <w:rPr>
          <w:rFonts w:asciiTheme="majorHAnsi" w:hAnsiTheme="majorHAnsi" w:cstheme="majorHAnsi"/>
        </w:rPr>
        <w:t>Threats to freshwater systems in a changing world</w:t>
      </w:r>
      <w:r w:rsidR="00DE16B6">
        <w:rPr>
          <w:rFonts w:asciiTheme="majorHAnsi" w:hAnsiTheme="majorHAnsi" w:cstheme="majorHAnsi"/>
        </w:rPr>
        <w:t xml:space="preserve"> have been increasing the occurrence and severity of </w:t>
      </w:r>
      <w:r w:rsidR="00C4455B">
        <w:rPr>
          <w:rFonts w:asciiTheme="majorHAnsi" w:hAnsiTheme="majorHAnsi" w:cstheme="majorHAnsi"/>
        </w:rPr>
        <w:t>eutrophication in freshwaters</w:t>
      </w:r>
    </w:p>
    <w:p w14:paraId="0D645157" w14:textId="7470B215" w:rsidR="000A7A45" w:rsidRPr="00191BF5" w:rsidRDefault="000A7A45" w:rsidP="00B14301">
      <w:pPr>
        <w:pStyle w:val="ListParagraph"/>
        <w:numPr>
          <w:ilvl w:val="1"/>
          <w:numId w:val="4"/>
        </w:numPr>
        <w:rPr>
          <w:rFonts w:asciiTheme="majorHAnsi" w:hAnsiTheme="majorHAnsi" w:cstheme="majorHAnsi"/>
        </w:rPr>
      </w:pPr>
      <w:r>
        <w:rPr>
          <w:rFonts w:asciiTheme="majorHAnsi" w:hAnsiTheme="majorHAnsi" w:cstheme="majorHAnsi"/>
        </w:rPr>
        <w:t>Watershed effects</w:t>
      </w:r>
      <w:r w:rsidR="00C718C3">
        <w:rPr>
          <w:rFonts w:asciiTheme="majorHAnsi" w:hAnsiTheme="majorHAnsi" w:cstheme="majorHAnsi"/>
        </w:rPr>
        <w:t xml:space="preserve"> </w:t>
      </w:r>
      <w:r w:rsidR="00E12A6B">
        <w:rPr>
          <w:rFonts w:asciiTheme="majorHAnsi" w:hAnsiTheme="majorHAnsi" w:cstheme="majorHAnsi"/>
        </w:rPr>
        <w:t>which cascade down to freshwater systems</w:t>
      </w:r>
    </w:p>
    <w:p w14:paraId="5C913EAF" w14:textId="72919E14" w:rsidR="00B14301" w:rsidRPr="00191BF5"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Land use shifts</w:t>
      </w:r>
      <w:r w:rsidR="00E12A6B">
        <w:rPr>
          <w:rFonts w:asciiTheme="majorHAnsi" w:hAnsiTheme="majorHAnsi" w:cstheme="majorHAnsi"/>
        </w:rPr>
        <w:t xml:space="preserve"> can lead to quicker deliver of nutrients to water bodies and increases in the amount of nutrients water bodies receive</w:t>
      </w:r>
    </w:p>
    <w:p w14:paraId="4B1EB5BC" w14:textId="031510E9" w:rsidR="00B14301" w:rsidRDefault="00B14301" w:rsidP="000A7A45">
      <w:pPr>
        <w:pStyle w:val="ListParagraph"/>
        <w:numPr>
          <w:ilvl w:val="2"/>
          <w:numId w:val="4"/>
        </w:numPr>
        <w:rPr>
          <w:rFonts w:asciiTheme="majorHAnsi" w:hAnsiTheme="majorHAnsi" w:cstheme="majorHAnsi"/>
        </w:rPr>
      </w:pPr>
      <w:r w:rsidRPr="00191BF5">
        <w:rPr>
          <w:rFonts w:asciiTheme="majorHAnsi" w:hAnsiTheme="majorHAnsi" w:cstheme="majorHAnsi"/>
        </w:rPr>
        <w:t>Increasing human population</w:t>
      </w:r>
      <w:commentRangeEnd w:id="0"/>
      <w:r w:rsidR="000318BB">
        <w:rPr>
          <w:rStyle w:val="CommentReference"/>
        </w:rPr>
        <w:commentReference w:id="0"/>
      </w:r>
      <w:r w:rsidR="00E12A6B">
        <w:rPr>
          <w:rFonts w:asciiTheme="majorHAnsi" w:hAnsiTheme="majorHAnsi" w:cstheme="majorHAnsi"/>
        </w:rPr>
        <w:t xml:space="preserve"> also leads to increases in nutrients through human waste and urban pollution, which negatively impact water quality</w:t>
      </w:r>
    </w:p>
    <w:p w14:paraId="62206617" w14:textId="6C12DD6A" w:rsidR="00C44557" w:rsidRDefault="00C44557" w:rsidP="000A7A45">
      <w:pPr>
        <w:pStyle w:val="ListParagraph"/>
        <w:numPr>
          <w:ilvl w:val="2"/>
          <w:numId w:val="4"/>
        </w:numPr>
        <w:rPr>
          <w:rFonts w:asciiTheme="majorHAnsi" w:hAnsiTheme="majorHAnsi" w:cstheme="majorHAnsi"/>
        </w:rPr>
      </w:pPr>
      <w:r>
        <w:rPr>
          <w:rFonts w:asciiTheme="majorHAnsi" w:hAnsiTheme="majorHAnsi" w:cstheme="majorHAnsi"/>
        </w:rPr>
        <w:t xml:space="preserve">Nutrient effects cause </w:t>
      </w:r>
      <w:r w:rsidR="003E1C78">
        <w:rPr>
          <w:rFonts w:asciiTheme="majorHAnsi" w:hAnsiTheme="majorHAnsi" w:cstheme="majorHAnsi"/>
        </w:rPr>
        <w:t xml:space="preserve">rapid </w:t>
      </w:r>
      <w:r>
        <w:rPr>
          <w:rFonts w:asciiTheme="majorHAnsi" w:hAnsiTheme="majorHAnsi" w:cstheme="majorHAnsi"/>
        </w:rPr>
        <w:t>changes in phytoplankton populations, understanding how nutrients are processed within a reservoir will help to forecast phytoplankton</w:t>
      </w:r>
      <w:r w:rsidR="00066B4F">
        <w:rPr>
          <w:rFonts w:asciiTheme="majorHAnsi" w:hAnsiTheme="majorHAnsi" w:cstheme="majorHAnsi"/>
        </w:rPr>
        <w:t>. By studying</w:t>
      </w:r>
      <w:r w:rsidR="00B96D4C">
        <w:rPr>
          <w:rFonts w:asciiTheme="majorHAnsi" w:hAnsiTheme="majorHAnsi" w:cstheme="majorHAnsi"/>
        </w:rPr>
        <w:t xml:space="preserve"> nutrient and phytoplankton dynamics at a high-resolution spatial scale, we can gain an understanding of chemical and biological hotspots of activity and further identify areas of greater risk of eutrophication under a changing climate. </w:t>
      </w:r>
    </w:p>
    <w:p w14:paraId="2AC51587" w14:textId="4134E0A2" w:rsidR="00C4455B" w:rsidRPr="00C4455B" w:rsidRDefault="00C4455B" w:rsidP="00C4455B">
      <w:pPr>
        <w:pStyle w:val="ListParagraph"/>
        <w:numPr>
          <w:ilvl w:val="1"/>
          <w:numId w:val="4"/>
        </w:numPr>
        <w:rPr>
          <w:rFonts w:asciiTheme="majorHAnsi" w:hAnsiTheme="majorHAnsi" w:cstheme="majorHAnsi"/>
        </w:rPr>
      </w:pPr>
      <w:r>
        <w:rPr>
          <w:rFonts w:asciiTheme="majorHAnsi" w:hAnsiTheme="majorHAnsi" w:cstheme="majorHAnsi"/>
        </w:rPr>
        <w:t>Further, global climate change in unpredictable,</w:t>
      </w:r>
      <w:r>
        <w:rPr>
          <w:rFonts w:asciiTheme="majorHAnsi" w:hAnsiTheme="majorHAnsi" w:cstheme="majorHAnsi"/>
        </w:rPr>
        <w:t xml:space="preserve"> mean</w:t>
      </w:r>
      <w:r>
        <w:rPr>
          <w:rFonts w:asciiTheme="majorHAnsi" w:hAnsiTheme="majorHAnsi" w:cstheme="majorHAnsi"/>
        </w:rPr>
        <w:t>ing</w:t>
      </w:r>
      <w:r>
        <w:rPr>
          <w:rFonts w:asciiTheme="majorHAnsi" w:hAnsiTheme="majorHAnsi" w:cstheme="majorHAnsi"/>
        </w:rPr>
        <w:t xml:space="preserve"> we don’t know </w:t>
      </w:r>
      <w:r>
        <w:rPr>
          <w:rFonts w:asciiTheme="majorHAnsi" w:hAnsiTheme="majorHAnsi" w:cstheme="majorHAnsi"/>
        </w:rPr>
        <w:t>exactly what</w:t>
      </w:r>
      <w:r>
        <w:rPr>
          <w:rFonts w:asciiTheme="majorHAnsi" w:hAnsiTheme="majorHAnsi" w:cstheme="majorHAnsi"/>
        </w:rPr>
        <w:t xml:space="preserve"> pressures will </w:t>
      </w:r>
      <w:proofErr w:type="gramStart"/>
      <w:r>
        <w:rPr>
          <w:rFonts w:asciiTheme="majorHAnsi" w:hAnsiTheme="majorHAnsi" w:cstheme="majorHAnsi"/>
        </w:rPr>
        <w:t>effect</w:t>
      </w:r>
      <w:proofErr w:type="gramEnd"/>
      <w:r>
        <w:rPr>
          <w:rFonts w:asciiTheme="majorHAnsi" w:hAnsiTheme="majorHAnsi" w:cstheme="majorHAnsi"/>
        </w:rPr>
        <w:t xml:space="preserve"> freshwater systems</w:t>
      </w:r>
    </w:p>
    <w:p w14:paraId="742ED84B" w14:textId="0B300006" w:rsidR="006A3761" w:rsidRPr="00191BF5" w:rsidRDefault="00C4455B" w:rsidP="00B900BF">
      <w:pPr>
        <w:pStyle w:val="ListParagraph"/>
        <w:numPr>
          <w:ilvl w:val="0"/>
          <w:numId w:val="4"/>
        </w:numPr>
        <w:rPr>
          <w:rFonts w:asciiTheme="majorHAnsi" w:hAnsiTheme="majorHAnsi" w:cstheme="majorHAnsi"/>
        </w:rPr>
      </w:pPr>
      <w:r>
        <w:rPr>
          <w:rFonts w:asciiTheme="majorHAnsi" w:hAnsiTheme="majorHAnsi" w:cstheme="majorHAnsi"/>
        </w:rPr>
        <w:t>Research to u</w:t>
      </w:r>
      <w:r w:rsidR="008E2132" w:rsidRPr="00191BF5">
        <w:rPr>
          <w:rFonts w:asciiTheme="majorHAnsi" w:hAnsiTheme="majorHAnsi" w:cstheme="majorHAnsi"/>
        </w:rPr>
        <w:t xml:space="preserve">nderstand </w:t>
      </w:r>
      <w:r>
        <w:rPr>
          <w:rFonts w:asciiTheme="majorHAnsi" w:hAnsiTheme="majorHAnsi" w:cstheme="majorHAnsi"/>
        </w:rPr>
        <w:t xml:space="preserve">how </w:t>
      </w:r>
      <w:r w:rsidR="008E2132" w:rsidRPr="00191BF5">
        <w:rPr>
          <w:rFonts w:asciiTheme="majorHAnsi" w:hAnsiTheme="majorHAnsi" w:cstheme="majorHAnsi"/>
        </w:rPr>
        <w:t xml:space="preserve">systems </w:t>
      </w:r>
      <w:r>
        <w:rPr>
          <w:rFonts w:asciiTheme="majorHAnsi" w:hAnsiTheme="majorHAnsi" w:cstheme="majorHAnsi"/>
        </w:rPr>
        <w:t xml:space="preserve">are currently changing </w:t>
      </w:r>
      <w:r w:rsidR="008E2132" w:rsidRPr="00191BF5">
        <w:rPr>
          <w:rFonts w:asciiTheme="majorHAnsi" w:hAnsiTheme="majorHAnsi" w:cstheme="majorHAnsi"/>
        </w:rPr>
        <w:t xml:space="preserve">and </w:t>
      </w:r>
      <w:r>
        <w:rPr>
          <w:rFonts w:asciiTheme="majorHAnsi" w:hAnsiTheme="majorHAnsi" w:cstheme="majorHAnsi"/>
        </w:rPr>
        <w:t xml:space="preserve">developing efforts to </w:t>
      </w:r>
      <w:r w:rsidR="008E2132" w:rsidRPr="00191BF5">
        <w:rPr>
          <w:rFonts w:asciiTheme="majorHAnsi" w:hAnsiTheme="majorHAnsi" w:cstheme="majorHAnsi"/>
        </w:rPr>
        <w:t>anticipa</w:t>
      </w:r>
      <w:r>
        <w:rPr>
          <w:rFonts w:asciiTheme="majorHAnsi" w:hAnsiTheme="majorHAnsi" w:cstheme="majorHAnsi"/>
        </w:rPr>
        <w:t>te</w:t>
      </w:r>
      <w:r w:rsidR="008E2132" w:rsidRPr="00191BF5">
        <w:rPr>
          <w:rFonts w:asciiTheme="majorHAnsi" w:hAnsiTheme="majorHAnsi" w:cstheme="majorHAnsi"/>
        </w:rPr>
        <w:t xml:space="preserve"> their </w:t>
      </w:r>
      <w:r>
        <w:rPr>
          <w:rFonts w:asciiTheme="majorHAnsi" w:hAnsiTheme="majorHAnsi" w:cstheme="majorHAnsi"/>
        </w:rPr>
        <w:t xml:space="preserve">future </w:t>
      </w:r>
      <w:r w:rsidR="008E2132" w:rsidRPr="00191BF5">
        <w:rPr>
          <w:rFonts w:asciiTheme="majorHAnsi" w:hAnsiTheme="majorHAnsi" w:cstheme="majorHAnsi"/>
        </w:rPr>
        <w:t>response is more important than ever</w:t>
      </w:r>
      <w:r w:rsidR="00605F86" w:rsidRPr="00191BF5">
        <w:rPr>
          <w:rFonts w:asciiTheme="majorHAnsi" w:hAnsiTheme="majorHAnsi" w:cstheme="majorHAnsi"/>
        </w:rPr>
        <w:t xml:space="preserve"> </w:t>
      </w:r>
    </w:p>
    <w:p w14:paraId="442C9DC5" w14:textId="77777777" w:rsidR="006A3761" w:rsidRPr="00191BF5" w:rsidRDefault="006A3761" w:rsidP="006A3761">
      <w:pPr>
        <w:pStyle w:val="ListParagraph"/>
        <w:numPr>
          <w:ilvl w:val="1"/>
          <w:numId w:val="4"/>
        </w:numPr>
        <w:rPr>
          <w:rFonts w:asciiTheme="majorHAnsi" w:hAnsiTheme="majorHAnsi" w:cstheme="majorHAnsi"/>
        </w:rPr>
      </w:pPr>
      <w:r w:rsidRPr="00191BF5">
        <w:rPr>
          <w:rFonts w:asciiTheme="majorHAnsi" w:hAnsiTheme="majorHAnsi" w:cstheme="majorHAnsi"/>
        </w:rPr>
        <w:t xml:space="preserve">to allow society to </w:t>
      </w:r>
      <w:r w:rsidR="0045461B" w:rsidRPr="00191BF5">
        <w:rPr>
          <w:rFonts w:asciiTheme="majorHAnsi" w:hAnsiTheme="majorHAnsi" w:cstheme="majorHAnsi"/>
        </w:rPr>
        <w:t>coexist with changing ecosystems</w:t>
      </w:r>
    </w:p>
    <w:p w14:paraId="7EAD7763" w14:textId="77777777" w:rsidR="008E2132" w:rsidRPr="00191BF5" w:rsidRDefault="00605F86" w:rsidP="006A3761">
      <w:pPr>
        <w:pStyle w:val="ListParagraph"/>
        <w:numPr>
          <w:ilvl w:val="1"/>
          <w:numId w:val="4"/>
        </w:numPr>
        <w:rPr>
          <w:rFonts w:asciiTheme="majorHAnsi" w:hAnsiTheme="majorHAnsi" w:cstheme="majorHAnsi"/>
        </w:rPr>
      </w:pPr>
      <w:r w:rsidRPr="00191BF5">
        <w:rPr>
          <w:rFonts w:asciiTheme="majorHAnsi" w:hAnsiTheme="majorHAnsi" w:cstheme="majorHAnsi"/>
        </w:rPr>
        <w:t>for managers to preemptively manage/anticipate impending poor water quality events</w:t>
      </w:r>
    </w:p>
    <w:p w14:paraId="5FCA1596" w14:textId="77777777" w:rsidR="00B14301" w:rsidRPr="00191BF5" w:rsidRDefault="00B14301" w:rsidP="00B14301">
      <w:pPr>
        <w:pStyle w:val="ListParagraph"/>
        <w:numPr>
          <w:ilvl w:val="1"/>
          <w:numId w:val="4"/>
        </w:numPr>
        <w:rPr>
          <w:rFonts w:asciiTheme="majorHAnsi" w:hAnsiTheme="majorHAnsi" w:cstheme="majorHAnsi"/>
        </w:rPr>
      </w:pPr>
      <w:r w:rsidRPr="00191BF5">
        <w:rPr>
          <w:rFonts w:asciiTheme="majorHAnsi" w:hAnsiTheme="majorHAnsi" w:cstheme="majorHAnsi"/>
        </w:rPr>
        <w:t xml:space="preserve">Lake Erie </w:t>
      </w:r>
      <w:r w:rsidR="00FB7532" w:rsidRPr="00191BF5">
        <w:rPr>
          <w:rFonts w:asciiTheme="majorHAnsi" w:hAnsiTheme="majorHAnsi" w:cstheme="majorHAnsi"/>
        </w:rPr>
        <w:t xml:space="preserve">2014 </w:t>
      </w:r>
      <w:r w:rsidRPr="00191BF5">
        <w:rPr>
          <w:rFonts w:asciiTheme="majorHAnsi" w:hAnsiTheme="majorHAnsi" w:cstheme="majorHAnsi"/>
        </w:rPr>
        <w:t>example</w:t>
      </w:r>
      <w:r w:rsidR="00E107B8" w:rsidRPr="00191BF5">
        <w:rPr>
          <w:rFonts w:asciiTheme="majorHAnsi" w:hAnsiTheme="majorHAnsi" w:cstheme="majorHAnsi"/>
        </w:rPr>
        <w:t xml:space="preserve">, major </w:t>
      </w:r>
      <w:r w:rsidR="00BE0607">
        <w:rPr>
          <w:rFonts w:asciiTheme="majorHAnsi" w:hAnsiTheme="majorHAnsi" w:cstheme="majorHAnsi"/>
        </w:rPr>
        <w:t xml:space="preserve">social and </w:t>
      </w:r>
      <w:r w:rsidR="00E107B8" w:rsidRPr="00191BF5">
        <w:rPr>
          <w:rFonts w:asciiTheme="majorHAnsi" w:hAnsiTheme="majorHAnsi" w:cstheme="majorHAnsi"/>
        </w:rPr>
        <w:t>economic loss</w:t>
      </w:r>
    </w:p>
    <w:p w14:paraId="66AB08CF" w14:textId="77777777" w:rsidR="00F43434" w:rsidRPr="00191BF5" w:rsidRDefault="008E2132">
      <w:pPr>
        <w:rPr>
          <w:rFonts w:asciiTheme="majorHAnsi" w:hAnsiTheme="majorHAnsi" w:cstheme="majorHAnsi"/>
          <w:b/>
          <w:u w:val="single"/>
        </w:rPr>
      </w:pPr>
      <w:r w:rsidRPr="00191BF5">
        <w:rPr>
          <w:rFonts w:asciiTheme="majorHAnsi" w:hAnsiTheme="majorHAnsi" w:cstheme="majorHAnsi"/>
          <w:b/>
          <w:u w:val="single"/>
        </w:rPr>
        <w:t>Proposed Research</w:t>
      </w:r>
    </w:p>
    <w:p w14:paraId="4A7DEDED" w14:textId="2171B473" w:rsidR="008E2132" w:rsidRPr="00191BF5" w:rsidRDefault="00284411">
      <w:pPr>
        <w:rPr>
          <w:rFonts w:asciiTheme="majorHAnsi" w:hAnsiTheme="majorHAnsi" w:cstheme="majorHAnsi"/>
          <w:b/>
        </w:rPr>
      </w:pPr>
      <w:r w:rsidRPr="00191BF5">
        <w:rPr>
          <w:rFonts w:asciiTheme="majorHAnsi" w:hAnsiTheme="majorHAnsi" w:cstheme="majorHAnsi"/>
          <w:i/>
          <w:u w:val="single"/>
        </w:rPr>
        <w:t>Chapter 1</w:t>
      </w:r>
      <w:r w:rsidR="008E2132" w:rsidRPr="00191BF5">
        <w:rPr>
          <w:rFonts w:asciiTheme="majorHAnsi" w:hAnsiTheme="majorHAnsi" w:cstheme="majorHAnsi"/>
          <w:i/>
          <w:u w:val="single"/>
        </w:rPr>
        <w:t>:</w:t>
      </w:r>
      <w:r w:rsidR="00667469" w:rsidRPr="00191BF5">
        <w:rPr>
          <w:rFonts w:asciiTheme="majorHAnsi" w:hAnsiTheme="majorHAnsi" w:cstheme="majorHAnsi"/>
          <w:i/>
        </w:rPr>
        <w:t xml:space="preserve"> </w:t>
      </w:r>
      <w:r w:rsidR="008E2132" w:rsidRPr="00191BF5">
        <w:rPr>
          <w:rFonts w:asciiTheme="majorHAnsi" w:hAnsiTheme="majorHAnsi" w:cstheme="majorHAnsi"/>
          <w:i/>
        </w:rPr>
        <w:t xml:space="preserve">Developing near-term forecasts of phytoplankton in </w:t>
      </w:r>
      <w:r w:rsidR="00051494">
        <w:rPr>
          <w:rFonts w:asciiTheme="majorHAnsi" w:hAnsiTheme="majorHAnsi" w:cstheme="majorHAnsi"/>
          <w:i/>
        </w:rPr>
        <w:t xml:space="preserve">a </w:t>
      </w:r>
      <w:r w:rsidR="008E2132" w:rsidRPr="00191BF5">
        <w:rPr>
          <w:rFonts w:asciiTheme="majorHAnsi" w:hAnsiTheme="majorHAnsi" w:cstheme="majorHAnsi"/>
          <w:i/>
        </w:rPr>
        <w:t>drinking water reservoir</w:t>
      </w:r>
      <w:r w:rsidR="00F43434" w:rsidRPr="00191BF5">
        <w:rPr>
          <w:rFonts w:asciiTheme="majorHAnsi" w:hAnsiTheme="majorHAnsi" w:cstheme="majorHAnsi"/>
          <w:b/>
          <w:i/>
          <w:u w:val="single"/>
        </w:rPr>
        <w:br/>
      </w:r>
      <w:r w:rsidR="000A7A45">
        <w:rPr>
          <w:rFonts w:asciiTheme="majorHAnsi" w:hAnsiTheme="majorHAnsi" w:cstheme="majorHAnsi"/>
          <w:b/>
        </w:rPr>
        <w:t>Introduction</w:t>
      </w:r>
    </w:p>
    <w:p w14:paraId="37D8186F" w14:textId="77777777" w:rsidR="00756CD2" w:rsidRPr="00EE7A9B" w:rsidRDefault="00FD37C7" w:rsidP="00756CD2">
      <w:pPr>
        <w:spacing w:after="0" w:line="240" w:lineRule="auto"/>
        <w:rPr>
          <w:rFonts w:asciiTheme="majorHAnsi" w:hAnsiTheme="majorHAnsi" w:cstheme="majorHAnsi"/>
          <w:b/>
          <w:u w:val="single"/>
        </w:rPr>
      </w:pPr>
      <w:r w:rsidRPr="00EE7A9B">
        <w:rPr>
          <w:rFonts w:asciiTheme="majorHAnsi" w:hAnsiTheme="majorHAnsi" w:cstheme="majorHAnsi"/>
        </w:rPr>
        <w:t xml:space="preserve">As our world continues through an era of change and human populations continue to grow, </w:t>
      </w:r>
      <w:r w:rsidR="00756CD2" w:rsidRPr="00EE7A9B">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Pr="00EE7A9B">
        <w:rPr>
          <w:rFonts w:asciiTheme="majorHAnsi" w:hAnsiTheme="majorHAnsi" w:cstheme="majorHAnsi"/>
        </w:rPr>
        <w:t>The current shift in the scientific community towards publishing data in publicly accessible venues, as well as the development of high-frequency sensors which result in massive amounts of data have both made it possible for the field of ecological forecasting to develop</w:t>
      </w:r>
      <w:r w:rsidR="00756CD2" w:rsidRPr="00EE7A9B">
        <w:rPr>
          <w:rFonts w:asciiTheme="majorHAnsi" w:hAnsiTheme="majorHAnsi" w:cstheme="majorHAnsi"/>
        </w:rPr>
        <w:t xml:space="preserve"> now</w:t>
      </w:r>
      <w:r w:rsidRPr="00EE7A9B">
        <w:rPr>
          <w:rFonts w:asciiTheme="majorHAnsi" w:hAnsiTheme="majorHAnsi" w:cstheme="majorHAnsi"/>
        </w:rPr>
        <w:t>.</w:t>
      </w:r>
      <w:r w:rsidR="00756CD2" w:rsidRPr="00EE7A9B">
        <w:rPr>
          <w:rFonts w:asciiTheme="majorHAnsi" w:hAnsiTheme="majorHAnsi" w:cstheme="majorHAnsi"/>
        </w:rPr>
        <w:t xml:space="preserve"> Therefore, the ability to forecast the future state of our drinking water sources is of utmost importance to society and freshwater ecology as a discipline. </w:t>
      </w:r>
    </w:p>
    <w:p w14:paraId="110C582F" w14:textId="77777777" w:rsidR="00756CD2" w:rsidRPr="00EE7A9B" w:rsidRDefault="00756CD2" w:rsidP="00FD37C7">
      <w:pPr>
        <w:rPr>
          <w:rFonts w:asciiTheme="majorHAnsi" w:hAnsiTheme="majorHAnsi" w:cstheme="majorHAnsi"/>
        </w:rPr>
      </w:pPr>
    </w:p>
    <w:p w14:paraId="5C1D792F" w14:textId="11E496AA" w:rsidR="00FB7532" w:rsidRPr="00FD37C7" w:rsidRDefault="00756CD2" w:rsidP="00FD37C7">
      <w:pPr>
        <w:rPr>
          <w:rFonts w:asciiTheme="majorHAnsi" w:hAnsiTheme="majorHAnsi" w:cstheme="majorHAnsi"/>
        </w:rPr>
      </w:pPr>
      <w:r>
        <w:rPr>
          <w:rFonts w:asciiTheme="majorHAnsi" w:hAnsiTheme="majorHAnsi" w:cstheme="majorHAnsi"/>
        </w:rPr>
        <w:t>Forecasting as a practice has been developing for decades in many disciplines and has substantial breadth. Uses of forecasting can be found in many fields and applications,</w:t>
      </w:r>
      <w:r w:rsidR="00142E66">
        <w:rPr>
          <w:rFonts w:asciiTheme="majorHAnsi" w:hAnsiTheme="majorHAnsi" w:cstheme="majorHAnsi"/>
        </w:rPr>
        <w:t xml:space="preserve"> </w:t>
      </w:r>
      <w:r w:rsidRPr="00BE060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BE0607">
        <w:rPr>
          <w:rFonts w:asciiTheme="majorHAnsi" w:hAnsiTheme="majorHAnsi" w:cstheme="majorHAnsi"/>
        </w:rPr>
        <w:t>Brookmyer</w:t>
      </w:r>
      <w:proofErr w:type="spellEnd"/>
      <w:r w:rsidRPr="00BE0607">
        <w:rPr>
          <w:rFonts w:asciiTheme="majorHAnsi" w:hAnsiTheme="majorHAnsi" w:cstheme="majorHAnsi"/>
        </w:rPr>
        <w:t xml:space="preserve"> et al 2007) to forecasts of bankruptcy declaration in the United States (Shumway et al 2001).</w:t>
      </w:r>
      <w:r w:rsidR="00142E66">
        <w:rPr>
          <w:rFonts w:asciiTheme="majorHAnsi" w:hAnsiTheme="majorHAnsi" w:cstheme="majorHAnsi"/>
        </w:rPr>
        <w:t xml:space="preserve"> Many of these fields have been priming their forecasting abilities for </w:t>
      </w:r>
      <w:r w:rsidR="00142E66">
        <w:rPr>
          <w:rFonts w:asciiTheme="majorHAnsi" w:hAnsiTheme="majorHAnsi" w:cstheme="majorHAnsi"/>
        </w:rPr>
        <w:lastRenderedPageBreak/>
        <w:t>decades (Shumway et al 2001). For example, SENTENCE ABOUT HOW ADVANCED WEATHER FORECASTING IS AND THE TRIAL AND ERRORS GONE THROUGH</w:t>
      </w:r>
      <w:r w:rsidR="007D383C">
        <w:rPr>
          <w:rFonts w:asciiTheme="majorHAnsi" w:hAnsiTheme="majorHAnsi" w:cstheme="majorHAnsi"/>
        </w:rPr>
        <w:t>—LOOK IN DIETZE</w:t>
      </w:r>
      <w:r w:rsidR="00142E66">
        <w:rPr>
          <w:rFonts w:asciiTheme="majorHAnsi" w:hAnsiTheme="majorHAnsi" w:cstheme="majorHAnsi"/>
        </w:rPr>
        <w:t xml:space="preserve">. However, the development of </w:t>
      </w:r>
      <w:r w:rsidR="00C4455B">
        <w:rPr>
          <w:rFonts w:asciiTheme="majorHAnsi" w:hAnsiTheme="majorHAnsi" w:cstheme="majorHAnsi"/>
        </w:rPr>
        <w:t>forecasts specific to ecological systems</w:t>
      </w:r>
      <w:r w:rsidR="00142E66">
        <w:rPr>
          <w:rFonts w:asciiTheme="majorHAnsi" w:hAnsiTheme="majorHAnsi" w:cstheme="majorHAnsi"/>
        </w:rPr>
        <w:t xml:space="preserve"> and ecosystem services is still in its relative infancy (</w:t>
      </w:r>
      <w:proofErr w:type="spellStart"/>
      <w:r w:rsidR="00142E66">
        <w:rPr>
          <w:rFonts w:asciiTheme="majorHAnsi" w:hAnsiTheme="majorHAnsi" w:cstheme="majorHAnsi"/>
        </w:rPr>
        <w:t>Dietze</w:t>
      </w:r>
      <w:proofErr w:type="spellEnd"/>
      <w:r w:rsidR="00142E66">
        <w:rPr>
          <w:rFonts w:asciiTheme="majorHAnsi" w:hAnsiTheme="majorHAnsi" w:cstheme="majorHAnsi"/>
        </w:rPr>
        <w:t xml:space="preserve"> book YEAR). </w:t>
      </w:r>
    </w:p>
    <w:p w14:paraId="2FA11177" w14:textId="77777777" w:rsidR="00C4455B" w:rsidRDefault="00BE0607" w:rsidP="00C4455B">
      <w:pPr>
        <w:rPr>
          <w:rFonts w:asciiTheme="majorHAnsi" w:hAnsiTheme="majorHAnsi" w:cstheme="majorHAnsi"/>
        </w:rPr>
      </w:pPr>
      <w:r w:rsidRPr="00142E66">
        <w:rPr>
          <w:rFonts w:asciiTheme="majorHAnsi" w:hAnsiTheme="majorHAnsi" w:cstheme="majorHAnsi"/>
        </w:rPr>
        <w:t xml:space="preserve">While being an emerging field </w:t>
      </w:r>
      <w:r w:rsidR="00142E66">
        <w:rPr>
          <w:rFonts w:asciiTheme="majorHAnsi" w:hAnsiTheme="majorHAnsi" w:cstheme="majorHAnsi"/>
        </w:rPr>
        <w:t>within</w:t>
      </w:r>
      <w:r w:rsidRPr="00142E66">
        <w:rPr>
          <w:rFonts w:asciiTheme="majorHAnsi" w:hAnsiTheme="majorHAnsi" w:cstheme="majorHAnsi"/>
        </w:rPr>
        <w:t xml:space="preserve"> forecasting, e</w:t>
      </w:r>
      <w:r w:rsidR="004613B2" w:rsidRPr="00142E66">
        <w:rPr>
          <w:rFonts w:asciiTheme="majorHAnsi" w:hAnsiTheme="majorHAnsi" w:cstheme="majorHAnsi"/>
        </w:rPr>
        <w:t xml:space="preserve">cological forecasting currently spans numerous disciplines, with a variety of purposes. </w:t>
      </w:r>
      <w:r w:rsidR="00EE7A9B">
        <w:rPr>
          <w:rFonts w:asciiTheme="majorHAnsi" w:hAnsiTheme="majorHAnsi" w:cstheme="majorHAnsi"/>
        </w:rPr>
        <w:t>To better understand the current state of studies using ecological forecasting, we conducted a small literature review. Studies were found using the Google Scholar database and the search term ‘ecological forecasting.’ Studies which met th</w:t>
      </w:r>
      <w:r w:rsidR="00EE7A9B" w:rsidRPr="00EE7A9B">
        <w:rPr>
          <w:rFonts w:asciiTheme="majorHAnsi" w:hAnsiTheme="majorHAnsi" w:cstheme="majorHAnsi"/>
        </w:rPr>
        <w:t>e following requirements were selected as using ecological forecasting methods: 1) use models, 2) quantify uncertainty to make a probabilistic forecast, and 3) run the model outside a given training period</w:t>
      </w:r>
      <w:r w:rsidR="00A16EA0">
        <w:rPr>
          <w:rFonts w:asciiTheme="majorHAnsi" w:hAnsiTheme="majorHAnsi" w:cstheme="majorHAnsi"/>
        </w:rPr>
        <w:t xml:space="preserve"> (Table 1)</w:t>
      </w:r>
      <w:r w:rsidR="00EE7A9B" w:rsidRPr="00EE7A9B">
        <w:rPr>
          <w:rFonts w:asciiTheme="majorHAnsi" w:hAnsiTheme="majorHAnsi" w:cstheme="majorHAnsi"/>
        </w:rPr>
        <w:t xml:space="preserve">.  </w:t>
      </w:r>
    </w:p>
    <w:p w14:paraId="361627CB" w14:textId="3B70AE9A" w:rsidR="00C4455B" w:rsidRDefault="00C4455B" w:rsidP="007548FC">
      <w:pPr>
        <w:rPr>
          <w:rFonts w:asciiTheme="majorHAnsi" w:hAnsiTheme="majorHAnsi" w:cstheme="majorHAnsi"/>
        </w:rPr>
      </w:pPr>
      <w:r w:rsidRPr="00C4455B">
        <w:rPr>
          <w:rFonts w:asciiTheme="majorHAnsi" w:hAnsiTheme="majorHAnsi" w:cstheme="majorHAnsi"/>
        </w:rPr>
        <w:t xml:space="preserve">Because the field of ecological forecasting is relatively new, there is not yet a consensus as to the best approach for predicting water quality. Empirical methods are </w:t>
      </w:r>
      <w:r w:rsidR="007548FC">
        <w:rPr>
          <w:rFonts w:asciiTheme="majorHAnsi" w:hAnsiTheme="majorHAnsi" w:cstheme="majorHAnsi"/>
        </w:rPr>
        <w:t>favored</w:t>
      </w:r>
      <w:r w:rsidRPr="00C4455B">
        <w:rPr>
          <w:rFonts w:asciiTheme="majorHAnsi" w:hAnsiTheme="majorHAnsi" w:cstheme="majorHAnsi"/>
        </w:rPr>
        <w:t xml:space="preserve"> </w:t>
      </w:r>
      <w:proofErr w:type="gramStart"/>
      <w:r w:rsidR="007548FC">
        <w:rPr>
          <w:rFonts w:asciiTheme="majorHAnsi" w:hAnsiTheme="majorHAnsi" w:cstheme="majorHAnsi"/>
        </w:rPr>
        <w:t>a</w:t>
      </w:r>
      <w:r w:rsidRPr="00C4455B">
        <w:rPr>
          <w:rFonts w:asciiTheme="majorHAnsi" w:hAnsiTheme="majorHAnsi" w:cstheme="majorHAnsi"/>
        </w:rPr>
        <w:t xml:space="preserve"> majority </w:t>
      </w:r>
      <w:r w:rsidR="007548FC">
        <w:rPr>
          <w:rFonts w:asciiTheme="majorHAnsi" w:hAnsiTheme="majorHAnsi" w:cstheme="majorHAnsi"/>
        </w:rPr>
        <w:t>of</w:t>
      </w:r>
      <w:proofErr w:type="gramEnd"/>
      <w:r w:rsidR="007548FC">
        <w:rPr>
          <w:rFonts w:asciiTheme="majorHAnsi" w:hAnsiTheme="majorHAnsi" w:cstheme="majorHAnsi"/>
        </w:rPr>
        <w:t xml:space="preserve"> times </w:t>
      </w:r>
      <w:r w:rsidRPr="00C4455B">
        <w:rPr>
          <w:rFonts w:asciiTheme="majorHAnsi" w:hAnsiTheme="majorHAnsi" w:cstheme="majorHAnsi"/>
        </w:rPr>
        <w:t>(6</w:t>
      </w:r>
      <w:r w:rsidR="007548FC">
        <w:rPr>
          <w:rFonts w:asciiTheme="majorHAnsi" w:hAnsiTheme="majorHAnsi" w:cstheme="majorHAnsi"/>
        </w:rPr>
        <w:t>5</w:t>
      </w:r>
      <w:r w:rsidRPr="00C4455B">
        <w:rPr>
          <w:rFonts w:asciiTheme="majorHAnsi" w:hAnsiTheme="majorHAnsi" w:cstheme="majorHAnsi"/>
        </w:rPr>
        <w:t>%, n= 1</w:t>
      </w:r>
      <w:r w:rsidR="007548FC">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 xml:space="preserve">) of current forecasting studies selected. Empirical approaches are popular because of their data-driven character; they are inherently suited for a </w:t>
      </w:r>
      <w:proofErr w:type="gramStart"/>
      <w:r w:rsidRPr="00C4455B">
        <w:rPr>
          <w:rFonts w:asciiTheme="majorHAnsi" w:hAnsiTheme="majorHAnsi" w:cstheme="majorHAnsi"/>
        </w:rPr>
        <w:t>particular system</w:t>
      </w:r>
      <w:proofErr w:type="gramEnd"/>
      <w:r w:rsidRPr="00C4455B">
        <w:rPr>
          <w:rFonts w:asciiTheme="majorHAnsi" w:hAnsiTheme="majorHAnsi" w:cstheme="majorHAnsi"/>
        </w:rPr>
        <w:t xml:space="preserve"> because they are based on past trends within that system. Input data for empirical models are commonly available through routine monitoring of a system, and these models do not require specific input data, but can be developed using a variety of ecological important driver variables. Additionally, empirical models are relatively easy and quick to develop and implement. However, because empirical models are built on the historic conditions of a system, if future conditions are outside the realm of past conditions, models might no longer be able to capture the mechanism responsible for changes. </w:t>
      </w:r>
      <w:r>
        <w:rPr>
          <w:rFonts w:asciiTheme="majorHAnsi" w:hAnsiTheme="majorHAnsi" w:cstheme="majorHAnsi"/>
        </w:rPr>
        <w:t>In contrast, p</w:t>
      </w:r>
      <w:r w:rsidRPr="00C4455B">
        <w:rPr>
          <w:rFonts w:asciiTheme="majorHAnsi" w:hAnsiTheme="majorHAnsi" w:cstheme="majorHAnsi"/>
        </w:rPr>
        <w:t xml:space="preserve">rocess-based </w:t>
      </w:r>
      <w:r w:rsidR="007548FC">
        <w:rPr>
          <w:rFonts w:asciiTheme="majorHAnsi" w:hAnsiTheme="majorHAnsi" w:cstheme="majorHAnsi"/>
        </w:rPr>
        <w:t xml:space="preserve">models </w:t>
      </w:r>
      <w:r w:rsidR="00DA227F">
        <w:rPr>
          <w:rFonts w:asciiTheme="majorHAnsi" w:hAnsiTheme="majorHAnsi" w:cstheme="majorHAnsi"/>
        </w:rPr>
        <w:t>were favored in just</w:t>
      </w:r>
      <w:r>
        <w:rPr>
          <w:rFonts w:asciiTheme="majorHAnsi" w:hAnsiTheme="majorHAnsi" w:cstheme="majorHAnsi"/>
        </w:rPr>
        <w:t xml:space="preserve"> over a third of the studies examined </w:t>
      </w:r>
      <w:r w:rsidRPr="00C4455B">
        <w:rPr>
          <w:rFonts w:asciiTheme="majorHAnsi" w:hAnsiTheme="majorHAnsi" w:cstheme="majorHAnsi"/>
        </w:rPr>
        <w:t>(n=1</w:t>
      </w:r>
      <w:r w:rsidR="00DA227F">
        <w:rPr>
          <w:rFonts w:asciiTheme="majorHAnsi" w:hAnsiTheme="majorHAnsi" w:cstheme="majorHAnsi"/>
        </w:rPr>
        <w:t>7</w:t>
      </w:r>
      <w:r>
        <w:rPr>
          <w:rFonts w:asciiTheme="majorHAnsi" w:hAnsiTheme="majorHAnsi" w:cstheme="majorHAnsi"/>
        </w:rPr>
        <w:t>, Table 1</w:t>
      </w:r>
      <w:r w:rsidRPr="00C4455B">
        <w:rPr>
          <w:rFonts w:asciiTheme="majorHAnsi" w:hAnsiTheme="majorHAnsi" w:cstheme="majorHAnsi"/>
        </w:rPr>
        <w:t>)</w:t>
      </w:r>
      <w:r>
        <w:rPr>
          <w:rFonts w:asciiTheme="majorHAnsi" w:hAnsiTheme="majorHAnsi" w:cstheme="majorHAnsi"/>
        </w:rPr>
        <w:t xml:space="preserve">. </w:t>
      </w:r>
      <w:r w:rsidR="007548FC">
        <w:rPr>
          <w:rFonts w:asciiTheme="majorHAnsi" w:hAnsiTheme="majorHAnsi" w:cstheme="majorHAnsi"/>
        </w:rPr>
        <w:t xml:space="preserve">It is not surprising that process-based models are currently less frequently used in the ecological forecasting literature given the hefty amount of input data often required to run the model, as well as the amount of time and expertise required of both the </w:t>
      </w:r>
      <w:r>
        <w:rPr>
          <w:rFonts w:asciiTheme="majorHAnsi" w:hAnsiTheme="majorHAnsi" w:cstheme="majorHAnsi"/>
        </w:rPr>
        <w:t>system being modeled and the model itself</w:t>
      </w:r>
      <w:r w:rsidR="007548FC">
        <w:rPr>
          <w:rFonts w:asciiTheme="majorHAnsi" w:hAnsiTheme="majorHAnsi" w:cstheme="majorHAnsi"/>
        </w:rPr>
        <w:t xml:space="preserve"> in order to properly calibrate the multitude of parameters within the model. However, these models may be especially useful in the current era of global change given their ability to explain underlying mechanisms which cause a given </w:t>
      </w:r>
      <w:proofErr w:type="gramStart"/>
      <w:r w:rsidR="007548FC">
        <w:rPr>
          <w:rFonts w:asciiTheme="majorHAnsi" w:hAnsiTheme="majorHAnsi" w:cstheme="majorHAnsi"/>
        </w:rPr>
        <w:t>response, and</w:t>
      </w:r>
      <w:proofErr w:type="gramEnd"/>
      <w:r w:rsidR="007548FC">
        <w:rPr>
          <w:rFonts w:asciiTheme="majorHAnsi" w:hAnsiTheme="majorHAnsi" w:cstheme="majorHAnsi"/>
        </w:rPr>
        <w:t xml:space="preserve"> are likely more generalizable to other systems because they are based on a set of fundamental equations rather than the historical pattern of a system. </w:t>
      </w:r>
    </w:p>
    <w:p w14:paraId="6B90E373" w14:textId="53E364C8" w:rsidR="007548FC" w:rsidRPr="00240B11" w:rsidRDefault="007548FC" w:rsidP="007548FC">
      <w:pPr>
        <w:rPr>
          <w:rFonts w:asciiTheme="majorHAnsi" w:hAnsiTheme="majorHAnsi" w:cstheme="majorHAnsi"/>
        </w:rPr>
      </w:pPr>
      <w:r>
        <w:rPr>
          <w:rFonts w:asciiTheme="majorHAnsi" w:hAnsiTheme="majorHAnsi" w:cstheme="majorHAnsi"/>
        </w:rPr>
        <w:t xml:space="preserve">The studies examine in our literature study spanned the realm of basic and applied research, showing motivations to understand the current state of science or to apply a forecast product to better informing management. While a majority of the studies in our literature review were conducting basic scientific research (73%, n = </w:t>
      </w:r>
      <w:proofErr w:type="gramStart"/>
      <w:r>
        <w:rPr>
          <w:rFonts w:asciiTheme="majorHAnsi" w:hAnsiTheme="majorHAnsi" w:cstheme="majorHAnsi"/>
        </w:rPr>
        <w:t>15 )</w:t>
      </w:r>
      <w:proofErr w:type="gramEnd"/>
      <w:r>
        <w:rPr>
          <w:rFonts w:asciiTheme="majorHAnsi" w:hAnsiTheme="majorHAnsi" w:cstheme="majorHAnsi"/>
        </w:rPr>
        <w:t xml:space="preserve">, all of the studies touting applied intentions were focused on informing management of freshwater systems in particular. This illustrates </w:t>
      </w:r>
      <w:r>
        <w:rPr>
          <w:rFonts w:asciiTheme="majorHAnsi" w:hAnsiTheme="majorHAnsi" w:cstheme="majorHAnsi"/>
        </w:rPr>
        <w:t>not only the interest in the scientific community to understand changing freshwater systems, but the need by managers and stakeholders for probabilistic forecasts in order to cope with and adapt to changing freshwater system</w:t>
      </w:r>
    </w:p>
    <w:p w14:paraId="1A0F01B6" w14:textId="6CE71027" w:rsidR="00C4455B" w:rsidRDefault="00C4455B" w:rsidP="00142E66">
      <w:pPr>
        <w:rPr>
          <w:rFonts w:asciiTheme="majorHAnsi" w:hAnsiTheme="majorHAnsi" w:cstheme="majorHAnsi"/>
        </w:rPr>
      </w:pPr>
    </w:p>
    <w:p w14:paraId="77638992" w14:textId="40A1AB56" w:rsidR="00DA227F" w:rsidRDefault="00DA227F" w:rsidP="00142E66">
      <w:pPr>
        <w:rPr>
          <w:rFonts w:asciiTheme="majorHAnsi" w:hAnsiTheme="majorHAnsi" w:cstheme="majorHAnsi"/>
        </w:rPr>
      </w:pPr>
    </w:p>
    <w:p w14:paraId="1536E17B" w14:textId="7574D9FD" w:rsidR="00DA227F" w:rsidRDefault="00DA227F" w:rsidP="00142E66">
      <w:pPr>
        <w:rPr>
          <w:rFonts w:asciiTheme="majorHAnsi" w:hAnsiTheme="majorHAnsi" w:cstheme="majorHAnsi"/>
        </w:rPr>
      </w:pPr>
    </w:p>
    <w:p w14:paraId="1EDBA27E" w14:textId="6AF57EAF" w:rsidR="00DA227F" w:rsidRDefault="00DA227F" w:rsidP="00142E66">
      <w:pPr>
        <w:rPr>
          <w:rFonts w:asciiTheme="majorHAnsi" w:hAnsiTheme="majorHAnsi" w:cstheme="majorHAnsi"/>
        </w:rPr>
      </w:pPr>
    </w:p>
    <w:p w14:paraId="6709E147" w14:textId="77777777" w:rsidR="00DA227F"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14:paraId="5C524AC0" w14:textId="10C9437C" w:rsidTr="007B2DCB">
        <w:tc>
          <w:tcPr>
            <w:tcW w:w="9350" w:type="dxa"/>
            <w:gridSpan w:val="5"/>
            <w:shd w:val="clear" w:color="auto" w:fill="767171" w:themeFill="background2" w:themeFillShade="80"/>
          </w:tcPr>
          <w:p w14:paraId="142E9E07" w14:textId="1131655C" w:rsidR="00DA227F" w:rsidRDefault="00DA227F" w:rsidP="00AD1D50">
            <w:r>
              <w:lastRenderedPageBreak/>
              <w:t>Table 1. Summary of literature review targeting studies using ecological forecasting methods</w:t>
            </w:r>
          </w:p>
        </w:tc>
      </w:tr>
      <w:tr w:rsidR="00DA227F" w14:paraId="02A86E8D" w14:textId="5B712BF0" w:rsidTr="00DA227F">
        <w:tc>
          <w:tcPr>
            <w:tcW w:w="1917" w:type="dxa"/>
            <w:shd w:val="clear" w:color="auto" w:fill="A6A6A6" w:themeFill="background1" w:themeFillShade="A6"/>
          </w:tcPr>
          <w:p w14:paraId="5C0A86FC" w14:textId="4E1EBBF1" w:rsidR="00DA227F" w:rsidRDefault="00DA227F" w:rsidP="00AD1D50">
            <w:pPr>
              <w:rPr>
                <w:rFonts w:asciiTheme="majorHAnsi" w:hAnsiTheme="majorHAnsi" w:cstheme="majorHAnsi"/>
              </w:rPr>
            </w:pPr>
            <w:r>
              <w:t>Authors &amp; Year</w:t>
            </w:r>
          </w:p>
        </w:tc>
        <w:tc>
          <w:tcPr>
            <w:tcW w:w="1895" w:type="dxa"/>
            <w:shd w:val="clear" w:color="auto" w:fill="A6A6A6" w:themeFill="background1" w:themeFillShade="A6"/>
          </w:tcPr>
          <w:p w14:paraId="1AE94638" w14:textId="77777777" w:rsidR="00DA227F" w:rsidRDefault="00DA227F" w:rsidP="00AD1D50">
            <w:pPr>
              <w:rPr>
                <w:rFonts w:asciiTheme="majorHAnsi" w:hAnsiTheme="majorHAnsi" w:cstheme="majorHAnsi"/>
              </w:rPr>
            </w:pPr>
            <w:r>
              <w:t xml:space="preserve">Best Model </w:t>
            </w:r>
          </w:p>
        </w:tc>
        <w:tc>
          <w:tcPr>
            <w:tcW w:w="2061" w:type="dxa"/>
            <w:shd w:val="clear" w:color="auto" w:fill="A6A6A6" w:themeFill="background1" w:themeFillShade="A6"/>
          </w:tcPr>
          <w:p w14:paraId="02378F90" w14:textId="77777777" w:rsidR="00DA227F" w:rsidRDefault="00DA227F" w:rsidP="00AD1D50">
            <w:pPr>
              <w:rPr>
                <w:rFonts w:asciiTheme="majorHAnsi" w:hAnsiTheme="majorHAnsi" w:cstheme="majorHAnsi"/>
              </w:rPr>
            </w:pPr>
            <w:r>
              <w:t>Forecast Product</w:t>
            </w:r>
          </w:p>
        </w:tc>
        <w:tc>
          <w:tcPr>
            <w:tcW w:w="1862" w:type="dxa"/>
            <w:shd w:val="clear" w:color="auto" w:fill="A6A6A6" w:themeFill="background1" w:themeFillShade="A6"/>
          </w:tcPr>
          <w:p w14:paraId="288B4A26" w14:textId="77777777" w:rsidR="00DA227F" w:rsidRDefault="00DA227F" w:rsidP="00AD1D50">
            <w:pPr>
              <w:rPr>
                <w:rFonts w:asciiTheme="majorHAnsi" w:hAnsiTheme="majorHAnsi" w:cstheme="majorHAnsi"/>
              </w:rPr>
            </w:pPr>
            <w:r>
              <w:t>Use of forecast product (basic or applied)</w:t>
            </w:r>
          </w:p>
        </w:tc>
        <w:tc>
          <w:tcPr>
            <w:tcW w:w="1615" w:type="dxa"/>
            <w:shd w:val="clear" w:color="auto" w:fill="A6A6A6" w:themeFill="background1" w:themeFillShade="A6"/>
          </w:tcPr>
          <w:p w14:paraId="1FAF7546" w14:textId="5B052A4A" w:rsidR="00DA227F" w:rsidRDefault="00DA227F" w:rsidP="00AD1D50">
            <w:r>
              <w:t xml:space="preserve">Reference </w:t>
            </w:r>
          </w:p>
        </w:tc>
      </w:tr>
      <w:tr w:rsidR="00DA227F" w14:paraId="0518C82C" w14:textId="2932C52A" w:rsidTr="00DA227F">
        <w:tc>
          <w:tcPr>
            <w:tcW w:w="1917" w:type="dxa"/>
          </w:tcPr>
          <w:p w14:paraId="12A5BA11" w14:textId="77777777" w:rsidR="00DA227F" w:rsidRDefault="00DA227F" w:rsidP="00AD1D50">
            <w:pPr>
              <w:rPr>
                <w:rFonts w:asciiTheme="majorHAnsi" w:hAnsiTheme="majorHAnsi" w:cstheme="majorHAnsi"/>
              </w:rPr>
            </w:pPr>
            <w:r>
              <w:t>Araujo et al. 2005</w:t>
            </w:r>
          </w:p>
        </w:tc>
        <w:tc>
          <w:tcPr>
            <w:tcW w:w="1895" w:type="dxa"/>
          </w:tcPr>
          <w:p w14:paraId="7ADFE369" w14:textId="77777777" w:rsidR="00DA227F" w:rsidRDefault="00DA227F" w:rsidP="00AD1D50">
            <w:pPr>
              <w:rPr>
                <w:rFonts w:asciiTheme="majorHAnsi" w:hAnsiTheme="majorHAnsi" w:cstheme="majorHAnsi"/>
              </w:rPr>
            </w:pPr>
            <w:r>
              <w:t>Empirical</w:t>
            </w:r>
          </w:p>
        </w:tc>
        <w:tc>
          <w:tcPr>
            <w:tcW w:w="2061" w:type="dxa"/>
          </w:tcPr>
          <w:p w14:paraId="7A241DB0" w14:textId="77777777" w:rsidR="00DA227F" w:rsidRDefault="00DA227F" w:rsidP="00AD1D50">
            <w:pPr>
              <w:rPr>
                <w:rFonts w:asciiTheme="majorHAnsi" w:hAnsiTheme="majorHAnsi" w:cstheme="majorHAnsi"/>
              </w:rPr>
            </w:pPr>
            <w:r>
              <w:t>Bird species ranges</w:t>
            </w:r>
          </w:p>
        </w:tc>
        <w:tc>
          <w:tcPr>
            <w:tcW w:w="1862" w:type="dxa"/>
          </w:tcPr>
          <w:p w14:paraId="5693F487" w14:textId="77777777" w:rsidR="00DA227F" w:rsidRDefault="00DA227F" w:rsidP="00AD1D50">
            <w:pPr>
              <w:rPr>
                <w:rFonts w:asciiTheme="majorHAnsi" w:hAnsiTheme="majorHAnsi" w:cstheme="majorHAnsi"/>
              </w:rPr>
            </w:pPr>
            <w:r>
              <w:t>Basic</w:t>
            </w:r>
          </w:p>
        </w:tc>
        <w:tc>
          <w:tcPr>
            <w:tcW w:w="1615" w:type="dxa"/>
          </w:tcPr>
          <w:p w14:paraId="1BC2A1B8" w14:textId="77777777" w:rsidR="00DA227F" w:rsidRDefault="00DA227F" w:rsidP="00AD1D50"/>
        </w:tc>
      </w:tr>
      <w:tr w:rsidR="00DA227F" w14:paraId="7A1E6724" w14:textId="14C2D1EF" w:rsidTr="00DA227F">
        <w:tc>
          <w:tcPr>
            <w:tcW w:w="1917" w:type="dxa"/>
          </w:tcPr>
          <w:p w14:paraId="22C3ED65" w14:textId="77777777" w:rsidR="00DA227F" w:rsidRDefault="00DA227F" w:rsidP="00AD1D50">
            <w:pPr>
              <w:rPr>
                <w:rFonts w:asciiTheme="majorHAnsi" w:hAnsiTheme="majorHAnsi" w:cstheme="majorHAnsi"/>
              </w:rPr>
            </w:pPr>
            <w:r>
              <w:t>Araujo et al. 2006</w:t>
            </w:r>
          </w:p>
        </w:tc>
        <w:tc>
          <w:tcPr>
            <w:tcW w:w="1895" w:type="dxa"/>
          </w:tcPr>
          <w:p w14:paraId="5176F204" w14:textId="77777777" w:rsidR="00DA227F" w:rsidRDefault="00DA227F" w:rsidP="00AD1D50">
            <w:pPr>
              <w:rPr>
                <w:rFonts w:asciiTheme="majorHAnsi" w:hAnsiTheme="majorHAnsi" w:cstheme="majorHAnsi"/>
              </w:rPr>
            </w:pPr>
            <w:r>
              <w:t>Empirical</w:t>
            </w:r>
          </w:p>
        </w:tc>
        <w:tc>
          <w:tcPr>
            <w:tcW w:w="2061" w:type="dxa"/>
          </w:tcPr>
          <w:p w14:paraId="5B2F5161" w14:textId="77777777" w:rsidR="00DA227F" w:rsidRDefault="00DA227F" w:rsidP="00AD1D50">
            <w:pPr>
              <w:rPr>
                <w:rFonts w:asciiTheme="majorHAnsi" w:hAnsiTheme="majorHAnsi" w:cstheme="majorHAnsi"/>
              </w:rPr>
            </w:pPr>
            <w:r>
              <w:t>Amphibian and reptile species distributions</w:t>
            </w:r>
          </w:p>
        </w:tc>
        <w:tc>
          <w:tcPr>
            <w:tcW w:w="1862" w:type="dxa"/>
          </w:tcPr>
          <w:p w14:paraId="4151CC7B" w14:textId="77777777" w:rsidR="00DA227F" w:rsidRDefault="00DA227F" w:rsidP="00AD1D50">
            <w:pPr>
              <w:rPr>
                <w:rFonts w:asciiTheme="majorHAnsi" w:hAnsiTheme="majorHAnsi" w:cstheme="majorHAnsi"/>
              </w:rPr>
            </w:pPr>
            <w:r>
              <w:t>Basic</w:t>
            </w:r>
          </w:p>
        </w:tc>
        <w:tc>
          <w:tcPr>
            <w:tcW w:w="1615" w:type="dxa"/>
          </w:tcPr>
          <w:p w14:paraId="10FC793F" w14:textId="77777777" w:rsidR="00DA227F" w:rsidRDefault="00DA227F" w:rsidP="00AD1D50"/>
        </w:tc>
      </w:tr>
      <w:tr w:rsidR="00DA227F" w14:paraId="6DF34CE0" w14:textId="40C41AF0" w:rsidTr="00DA227F">
        <w:tc>
          <w:tcPr>
            <w:tcW w:w="1917" w:type="dxa"/>
          </w:tcPr>
          <w:p w14:paraId="7B67D5D2" w14:textId="77777777" w:rsidR="00DA227F" w:rsidRDefault="00DA227F" w:rsidP="00AD1D50">
            <w:pPr>
              <w:rPr>
                <w:rFonts w:asciiTheme="majorHAnsi" w:hAnsiTheme="majorHAnsi" w:cstheme="majorHAnsi"/>
              </w:rPr>
            </w:pPr>
            <w:r>
              <w:t>Brown et al. 2013</w:t>
            </w:r>
          </w:p>
        </w:tc>
        <w:tc>
          <w:tcPr>
            <w:tcW w:w="1895" w:type="dxa"/>
          </w:tcPr>
          <w:p w14:paraId="5982E255" w14:textId="77777777" w:rsidR="00DA227F" w:rsidRDefault="00DA227F" w:rsidP="00AD1D50">
            <w:pPr>
              <w:rPr>
                <w:rFonts w:asciiTheme="majorHAnsi" w:hAnsiTheme="majorHAnsi" w:cstheme="majorHAnsi"/>
              </w:rPr>
            </w:pPr>
            <w:r>
              <w:t xml:space="preserve">Process-based and empirical </w:t>
            </w:r>
          </w:p>
        </w:tc>
        <w:tc>
          <w:tcPr>
            <w:tcW w:w="2061" w:type="dxa"/>
          </w:tcPr>
          <w:p w14:paraId="0D31B943" w14:textId="77777777" w:rsidR="00DA227F" w:rsidRDefault="00DA227F" w:rsidP="00AD1D50">
            <w:pPr>
              <w:rPr>
                <w:rFonts w:asciiTheme="majorHAnsi" w:hAnsiTheme="majorHAnsi" w:cstheme="majorHAnsi"/>
              </w:rPr>
            </w:pPr>
            <w:r>
              <w:t>Chesapeake Bay water quality</w:t>
            </w:r>
          </w:p>
        </w:tc>
        <w:tc>
          <w:tcPr>
            <w:tcW w:w="1862" w:type="dxa"/>
          </w:tcPr>
          <w:p w14:paraId="479D05C6" w14:textId="77777777" w:rsidR="00DA227F" w:rsidRDefault="00DA227F" w:rsidP="00AD1D50">
            <w:pPr>
              <w:rPr>
                <w:rFonts w:asciiTheme="majorHAnsi" w:hAnsiTheme="majorHAnsi" w:cstheme="majorHAnsi"/>
              </w:rPr>
            </w:pPr>
            <w:r>
              <w:t>Applied</w:t>
            </w:r>
          </w:p>
        </w:tc>
        <w:tc>
          <w:tcPr>
            <w:tcW w:w="1615" w:type="dxa"/>
          </w:tcPr>
          <w:p w14:paraId="3E4A33BE" w14:textId="77777777" w:rsidR="00DA227F" w:rsidRDefault="00DA227F" w:rsidP="00AD1D50"/>
        </w:tc>
      </w:tr>
      <w:tr w:rsidR="00DA227F" w14:paraId="0C201624" w14:textId="3FAFCF99" w:rsidTr="00DA227F">
        <w:tc>
          <w:tcPr>
            <w:tcW w:w="1917" w:type="dxa"/>
          </w:tcPr>
          <w:p w14:paraId="29D92650" w14:textId="77777777" w:rsidR="00DA227F" w:rsidRDefault="00DA227F" w:rsidP="00AD1D50">
            <w:pPr>
              <w:rPr>
                <w:rFonts w:asciiTheme="majorHAnsi" w:hAnsiTheme="majorHAnsi" w:cstheme="majorHAnsi"/>
              </w:rPr>
            </w:pPr>
            <w:r>
              <w:t>Dean et al. 2004</w:t>
            </w:r>
          </w:p>
        </w:tc>
        <w:tc>
          <w:tcPr>
            <w:tcW w:w="1895" w:type="dxa"/>
          </w:tcPr>
          <w:p w14:paraId="0A9F8523" w14:textId="77777777" w:rsidR="00DA227F" w:rsidRDefault="00DA227F" w:rsidP="00AD1D50">
            <w:pPr>
              <w:rPr>
                <w:rFonts w:asciiTheme="majorHAnsi" w:hAnsiTheme="majorHAnsi" w:cstheme="majorHAnsi"/>
              </w:rPr>
            </w:pPr>
            <w:r>
              <w:t>Process-based</w:t>
            </w:r>
          </w:p>
        </w:tc>
        <w:tc>
          <w:tcPr>
            <w:tcW w:w="2061" w:type="dxa"/>
          </w:tcPr>
          <w:p w14:paraId="24C33A6D" w14:textId="77777777" w:rsidR="00DA227F" w:rsidRDefault="00DA227F" w:rsidP="00AD1D50">
            <w:pPr>
              <w:rPr>
                <w:rFonts w:asciiTheme="majorHAnsi" w:hAnsiTheme="majorHAnsi" w:cstheme="majorHAnsi"/>
              </w:rPr>
            </w:pPr>
            <w:r>
              <w:t>Carbon sequestration in forests</w:t>
            </w:r>
          </w:p>
        </w:tc>
        <w:tc>
          <w:tcPr>
            <w:tcW w:w="1862" w:type="dxa"/>
          </w:tcPr>
          <w:p w14:paraId="70A52F9A" w14:textId="77777777" w:rsidR="00DA227F" w:rsidRDefault="00DA227F" w:rsidP="00AD1D50">
            <w:pPr>
              <w:rPr>
                <w:rFonts w:asciiTheme="majorHAnsi" w:hAnsiTheme="majorHAnsi" w:cstheme="majorHAnsi"/>
              </w:rPr>
            </w:pPr>
            <w:r>
              <w:t>Basic</w:t>
            </w:r>
          </w:p>
        </w:tc>
        <w:tc>
          <w:tcPr>
            <w:tcW w:w="1615" w:type="dxa"/>
          </w:tcPr>
          <w:p w14:paraId="56BBF6AC" w14:textId="77777777" w:rsidR="00DA227F" w:rsidRDefault="00DA227F" w:rsidP="00AD1D50"/>
        </w:tc>
      </w:tr>
      <w:tr w:rsidR="00DA227F" w14:paraId="4306C76C" w14:textId="03F31960" w:rsidTr="00DA227F">
        <w:tc>
          <w:tcPr>
            <w:tcW w:w="1917" w:type="dxa"/>
          </w:tcPr>
          <w:p w14:paraId="45FE2BD5" w14:textId="77777777" w:rsidR="00DA227F" w:rsidRDefault="00DA227F" w:rsidP="00AD1D50">
            <w:pPr>
              <w:rPr>
                <w:rFonts w:asciiTheme="majorHAnsi" w:hAnsiTheme="majorHAnsi" w:cstheme="majorHAnsi"/>
              </w:rPr>
            </w:pPr>
            <w:r>
              <w:t>Estes et al. 2013</w:t>
            </w:r>
          </w:p>
        </w:tc>
        <w:tc>
          <w:tcPr>
            <w:tcW w:w="1895" w:type="dxa"/>
          </w:tcPr>
          <w:p w14:paraId="42E47288" w14:textId="77777777" w:rsidR="00DA227F" w:rsidRDefault="00DA227F" w:rsidP="00AD1D50">
            <w:pPr>
              <w:rPr>
                <w:rFonts w:asciiTheme="majorHAnsi" w:hAnsiTheme="majorHAnsi" w:cstheme="majorHAnsi"/>
              </w:rPr>
            </w:pPr>
            <w:r>
              <w:t>Empirical</w:t>
            </w:r>
          </w:p>
        </w:tc>
        <w:tc>
          <w:tcPr>
            <w:tcW w:w="2061" w:type="dxa"/>
          </w:tcPr>
          <w:p w14:paraId="510A9150" w14:textId="77777777" w:rsidR="00DA227F" w:rsidRDefault="00DA227F" w:rsidP="00AD1D50">
            <w:pPr>
              <w:rPr>
                <w:rFonts w:asciiTheme="majorHAnsi" w:hAnsiTheme="majorHAnsi" w:cstheme="majorHAnsi"/>
              </w:rPr>
            </w:pPr>
            <w:r>
              <w:t>Productivity and suitability of crops in South Africa</w:t>
            </w:r>
          </w:p>
        </w:tc>
        <w:tc>
          <w:tcPr>
            <w:tcW w:w="1862" w:type="dxa"/>
          </w:tcPr>
          <w:p w14:paraId="1D7595F6" w14:textId="77777777" w:rsidR="00DA227F" w:rsidRDefault="00DA227F" w:rsidP="00AD1D50">
            <w:pPr>
              <w:rPr>
                <w:rFonts w:asciiTheme="majorHAnsi" w:hAnsiTheme="majorHAnsi" w:cstheme="majorHAnsi"/>
              </w:rPr>
            </w:pPr>
            <w:r>
              <w:t>Basic</w:t>
            </w:r>
          </w:p>
        </w:tc>
        <w:tc>
          <w:tcPr>
            <w:tcW w:w="1615" w:type="dxa"/>
          </w:tcPr>
          <w:p w14:paraId="20213924" w14:textId="77777777" w:rsidR="00DA227F" w:rsidRDefault="00DA227F" w:rsidP="00AD1D50"/>
        </w:tc>
      </w:tr>
      <w:tr w:rsidR="00DA227F" w14:paraId="6F4AE8EB" w14:textId="3599D592" w:rsidTr="00DA227F">
        <w:tc>
          <w:tcPr>
            <w:tcW w:w="1917" w:type="dxa"/>
          </w:tcPr>
          <w:p w14:paraId="761D57E4" w14:textId="77777777" w:rsidR="00DA227F" w:rsidRDefault="00DA227F" w:rsidP="00AD1D50">
            <w:pPr>
              <w:rPr>
                <w:rFonts w:asciiTheme="majorHAnsi" w:hAnsiTheme="majorHAnsi" w:cstheme="majorHAnsi"/>
              </w:rPr>
            </w:pPr>
            <w:proofErr w:type="spellStart"/>
            <w:r>
              <w:t>Fenocci</w:t>
            </w:r>
            <w:proofErr w:type="spellEnd"/>
            <w:r>
              <w:t xml:space="preserve"> et al. 2019</w:t>
            </w:r>
          </w:p>
        </w:tc>
        <w:tc>
          <w:tcPr>
            <w:tcW w:w="1895" w:type="dxa"/>
          </w:tcPr>
          <w:p w14:paraId="5EC1C7FA" w14:textId="77777777" w:rsidR="00DA227F" w:rsidRDefault="00DA227F" w:rsidP="00AD1D50">
            <w:pPr>
              <w:rPr>
                <w:rFonts w:asciiTheme="majorHAnsi" w:hAnsiTheme="majorHAnsi" w:cstheme="majorHAnsi"/>
              </w:rPr>
            </w:pPr>
            <w:r>
              <w:t>Process-based</w:t>
            </w:r>
          </w:p>
        </w:tc>
        <w:tc>
          <w:tcPr>
            <w:tcW w:w="2061" w:type="dxa"/>
          </w:tcPr>
          <w:p w14:paraId="4B21AF4A" w14:textId="77777777" w:rsidR="00DA227F" w:rsidRDefault="00DA227F" w:rsidP="00AD1D50">
            <w:pPr>
              <w:rPr>
                <w:rFonts w:asciiTheme="majorHAnsi" w:hAnsiTheme="majorHAnsi" w:cstheme="majorHAnsi"/>
              </w:rPr>
            </w:pPr>
            <w:r>
              <w:t xml:space="preserve">Phytoplankton dynamics </w:t>
            </w:r>
          </w:p>
        </w:tc>
        <w:tc>
          <w:tcPr>
            <w:tcW w:w="1862" w:type="dxa"/>
          </w:tcPr>
          <w:p w14:paraId="664E922E" w14:textId="77777777" w:rsidR="00DA227F" w:rsidRDefault="00DA227F" w:rsidP="00AD1D50">
            <w:pPr>
              <w:rPr>
                <w:rFonts w:asciiTheme="majorHAnsi" w:hAnsiTheme="majorHAnsi" w:cstheme="majorHAnsi"/>
              </w:rPr>
            </w:pPr>
            <w:r>
              <w:t>Basic</w:t>
            </w:r>
          </w:p>
        </w:tc>
        <w:tc>
          <w:tcPr>
            <w:tcW w:w="1615" w:type="dxa"/>
          </w:tcPr>
          <w:p w14:paraId="69A3246B" w14:textId="77777777" w:rsidR="00DA227F" w:rsidRDefault="00DA227F" w:rsidP="00AD1D50"/>
        </w:tc>
      </w:tr>
      <w:tr w:rsidR="00DA227F" w14:paraId="20DEB388" w14:textId="32B909AB" w:rsidTr="00DA227F">
        <w:tc>
          <w:tcPr>
            <w:tcW w:w="1917" w:type="dxa"/>
          </w:tcPr>
          <w:p w14:paraId="27D66307" w14:textId="77777777" w:rsidR="00DA227F" w:rsidRDefault="00DA227F" w:rsidP="00AD1D50">
            <w:pPr>
              <w:rPr>
                <w:rFonts w:asciiTheme="majorHAnsi" w:hAnsiTheme="majorHAnsi" w:cstheme="majorHAnsi"/>
              </w:rPr>
            </w:pPr>
            <w:r>
              <w:t>Hazen et al. 2017</w:t>
            </w:r>
          </w:p>
        </w:tc>
        <w:tc>
          <w:tcPr>
            <w:tcW w:w="1895" w:type="dxa"/>
          </w:tcPr>
          <w:p w14:paraId="66A1CD7F" w14:textId="77777777" w:rsidR="00DA227F" w:rsidRDefault="00DA227F" w:rsidP="00AD1D50">
            <w:pPr>
              <w:rPr>
                <w:rFonts w:asciiTheme="majorHAnsi" w:hAnsiTheme="majorHAnsi" w:cstheme="majorHAnsi"/>
              </w:rPr>
            </w:pPr>
            <w:r>
              <w:t>Empirical</w:t>
            </w:r>
          </w:p>
        </w:tc>
        <w:tc>
          <w:tcPr>
            <w:tcW w:w="2061" w:type="dxa"/>
          </w:tcPr>
          <w:p w14:paraId="685565B0" w14:textId="77777777" w:rsidR="00DA227F" w:rsidRDefault="00DA227F" w:rsidP="00AD1D50">
            <w:pPr>
              <w:rPr>
                <w:rFonts w:asciiTheme="majorHAnsi" w:hAnsiTheme="majorHAnsi" w:cstheme="majorHAnsi"/>
              </w:rPr>
            </w:pPr>
            <w:r>
              <w:t>Blue whale density</w:t>
            </w:r>
          </w:p>
        </w:tc>
        <w:tc>
          <w:tcPr>
            <w:tcW w:w="1862" w:type="dxa"/>
          </w:tcPr>
          <w:p w14:paraId="2F2B0800" w14:textId="5F9DF503" w:rsidR="00DA227F" w:rsidRDefault="00DA227F" w:rsidP="00AD1D50">
            <w:pPr>
              <w:rPr>
                <w:rFonts w:asciiTheme="majorHAnsi" w:hAnsiTheme="majorHAnsi" w:cstheme="majorHAnsi"/>
              </w:rPr>
            </w:pPr>
            <w:r>
              <w:t>Applied</w:t>
            </w:r>
          </w:p>
        </w:tc>
        <w:tc>
          <w:tcPr>
            <w:tcW w:w="1615" w:type="dxa"/>
          </w:tcPr>
          <w:p w14:paraId="7FB4B511" w14:textId="77777777" w:rsidR="00DA227F" w:rsidRDefault="00DA227F" w:rsidP="00AD1D50"/>
        </w:tc>
      </w:tr>
      <w:tr w:rsidR="00DA227F" w14:paraId="34C561EB" w14:textId="5293461C" w:rsidTr="00DA227F">
        <w:tc>
          <w:tcPr>
            <w:tcW w:w="1917" w:type="dxa"/>
          </w:tcPr>
          <w:p w14:paraId="1A9A1F7B" w14:textId="77777777" w:rsidR="00DA227F" w:rsidRDefault="00DA227F" w:rsidP="00AD1D50">
            <w:proofErr w:type="spellStart"/>
            <w:r>
              <w:t>Lindegren</w:t>
            </w:r>
            <w:proofErr w:type="spellEnd"/>
            <w:r>
              <w:t xml:space="preserve"> et al. 2013</w:t>
            </w:r>
          </w:p>
        </w:tc>
        <w:tc>
          <w:tcPr>
            <w:tcW w:w="1895" w:type="dxa"/>
          </w:tcPr>
          <w:p w14:paraId="25B67891" w14:textId="77777777" w:rsidR="00DA227F" w:rsidRDefault="00DA227F" w:rsidP="00AD1D50">
            <w:r>
              <w:t>Process-based</w:t>
            </w:r>
          </w:p>
        </w:tc>
        <w:tc>
          <w:tcPr>
            <w:tcW w:w="2061" w:type="dxa"/>
          </w:tcPr>
          <w:p w14:paraId="643C2612" w14:textId="77777777" w:rsidR="00DA227F" w:rsidRDefault="00DA227F" w:rsidP="00AD1D50">
            <w:r>
              <w:t>Baltic cod dynamics</w:t>
            </w:r>
          </w:p>
        </w:tc>
        <w:tc>
          <w:tcPr>
            <w:tcW w:w="1862" w:type="dxa"/>
          </w:tcPr>
          <w:p w14:paraId="728D60BF" w14:textId="77777777" w:rsidR="00DA227F" w:rsidRDefault="00DA227F" w:rsidP="00AD1D50">
            <w:r>
              <w:t>Basic</w:t>
            </w:r>
          </w:p>
        </w:tc>
        <w:tc>
          <w:tcPr>
            <w:tcW w:w="1615" w:type="dxa"/>
          </w:tcPr>
          <w:p w14:paraId="76F5809A" w14:textId="77777777" w:rsidR="00DA227F" w:rsidRDefault="00DA227F" w:rsidP="00AD1D50"/>
        </w:tc>
      </w:tr>
      <w:tr w:rsidR="00DA227F" w14:paraId="59F95037" w14:textId="43538B62" w:rsidTr="00DA227F">
        <w:tc>
          <w:tcPr>
            <w:tcW w:w="1917" w:type="dxa"/>
          </w:tcPr>
          <w:p w14:paraId="134A48D1" w14:textId="77777777" w:rsidR="00DA227F" w:rsidRDefault="00DA227F" w:rsidP="00AD1D50">
            <w:r>
              <w:t>Liu et al. 2006</w:t>
            </w:r>
          </w:p>
        </w:tc>
        <w:tc>
          <w:tcPr>
            <w:tcW w:w="1895" w:type="dxa"/>
          </w:tcPr>
          <w:p w14:paraId="23D8489A" w14:textId="77777777" w:rsidR="00DA227F" w:rsidRDefault="00DA227F" w:rsidP="00AD1D50">
            <w:r>
              <w:t>Empirical</w:t>
            </w:r>
          </w:p>
        </w:tc>
        <w:tc>
          <w:tcPr>
            <w:tcW w:w="2061" w:type="dxa"/>
          </w:tcPr>
          <w:p w14:paraId="3B660B25" w14:textId="77777777" w:rsidR="00DA227F" w:rsidRDefault="00DA227F" w:rsidP="00AD1D50">
            <w:r>
              <w:t>Coral Reef Bleaching</w:t>
            </w:r>
          </w:p>
        </w:tc>
        <w:tc>
          <w:tcPr>
            <w:tcW w:w="1862" w:type="dxa"/>
          </w:tcPr>
          <w:p w14:paraId="54C6640E" w14:textId="77777777" w:rsidR="00DA227F" w:rsidRDefault="00DA227F" w:rsidP="00AD1D50">
            <w:r>
              <w:t>Applied</w:t>
            </w:r>
          </w:p>
        </w:tc>
        <w:tc>
          <w:tcPr>
            <w:tcW w:w="1615" w:type="dxa"/>
          </w:tcPr>
          <w:p w14:paraId="7716F6C1" w14:textId="77777777" w:rsidR="00DA227F" w:rsidRDefault="00DA227F" w:rsidP="00AD1D50"/>
        </w:tc>
      </w:tr>
      <w:tr w:rsidR="00DA227F" w14:paraId="2CD712D1" w14:textId="4705473E" w:rsidTr="00DA227F">
        <w:tc>
          <w:tcPr>
            <w:tcW w:w="1917" w:type="dxa"/>
          </w:tcPr>
          <w:p w14:paraId="4C8733BC" w14:textId="77777777" w:rsidR="00DA227F" w:rsidRDefault="00DA227F" w:rsidP="00AD1D50">
            <w:r>
              <w:t>Martinez-Meyer et al. 2004</w:t>
            </w:r>
          </w:p>
        </w:tc>
        <w:tc>
          <w:tcPr>
            <w:tcW w:w="1895" w:type="dxa"/>
          </w:tcPr>
          <w:p w14:paraId="79D88065" w14:textId="77777777" w:rsidR="00DA227F" w:rsidRDefault="00DA227F" w:rsidP="00AD1D50">
            <w:r>
              <w:t>Empirical</w:t>
            </w:r>
          </w:p>
        </w:tc>
        <w:tc>
          <w:tcPr>
            <w:tcW w:w="2061" w:type="dxa"/>
          </w:tcPr>
          <w:p w14:paraId="01C29F60" w14:textId="77777777" w:rsidR="00DA227F" w:rsidRDefault="00DA227F" w:rsidP="00AD1D50">
            <w:r>
              <w:t>Ecological niches of mammal species</w:t>
            </w:r>
          </w:p>
        </w:tc>
        <w:tc>
          <w:tcPr>
            <w:tcW w:w="1862" w:type="dxa"/>
          </w:tcPr>
          <w:p w14:paraId="2268E2F2" w14:textId="77777777" w:rsidR="00DA227F" w:rsidRDefault="00DA227F" w:rsidP="00AD1D50">
            <w:r>
              <w:t>Basic</w:t>
            </w:r>
          </w:p>
        </w:tc>
        <w:tc>
          <w:tcPr>
            <w:tcW w:w="1615" w:type="dxa"/>
          </w:tcPr>
          <w:p w14:paraId="308AFC8D" w14:textId="77777777" w:rsidR="00DA227F" w:rsidRDefault="00DA227F" w:rsidP="00AD1D50"/>
        </w:tc>
      </w:tr>
      <w:tr w:rsidR="00DA227F" w14:paraId="59B37BD4" w14:textId="5F077DB2" w:rsidTr="00DA227F">
        <w:tc>
          <w:tcPr>
            <w:tcW w:w="1917" w:type="dxa"/>
          </w:tcPr>
          <w:p w14:paraId="51F9AF8C" w14:textId="77777777" w:rsidR="00DA227F" w:rsidRDefault="00DA227F" w:rsidP="00AD1D50">
            <w:proofErr w:type="spellStart"/>
            <w:r>
              <w:t>Perretti</w:t>
            </w:r>
            <w:proofErr w:type="spellEnd"/>
            <w:r>
              <w:t xml:space="preserve"> et al. 2013</w:t>
            </w:r>
          </w:p>
        </w:tc>
        <w:tc>
          <w:tcPr>
            <w:tcW w:w="1895" w:type="dxa"/>
          </w:tcPr>
          <w:p w14:paraId="72D05C9B" w14:textId="77777777" w:rsidR="00DA227F" w:rsidRDefault="00DA227F" w:rsidP="00AD1D50">
            <w:r>
              <w:t>Empirical</w:t>
            </w:r>
          </w:p>
        </w:tc>
        <w:tc>
          <w:tcPr>
            <w:tcW w:w="2061" w:type="dxa"/>
          </w:tcPr>
          <w:p w14:paraId="3E7DA2D7" w14:textId="77777777" w:rsidR="00DA227F" w:rsidRDefault="00DA227F" w:rsidP="00AD1D50">
            <w:r>
              <w:t>Species abundance</w:t>
            </w:r>
          </w:p>
        </w:tc>
        <w:tc>
          <w:tcPr>
            <w:tcW w:w="1862" w:type="dxa"/>
          </w:tcPr>
          <w:p w14:paraId="74DCE7BF" w14:textId="77777777" w:rsidR="00DA227F" w:rsidRDefault="00DA227F" w:rsidP="00AD1D50">
            <w:r>
              <w:t>Basic</w:t>
            </w:r>
          </w:p>
        </w:tc>
        <w:tc>
          <w:tcPr>
            <w:tcW w:w="1615" w:type="dxa"/>
          </w:tcPr>
          <w:p w14:paraId="3D6DF2A7" w14:textId="77777777" w:rsidR="00DA227F" w:rsidRDefault="00DA227F" w:rsidP="00AD1D50"/>
        </w:tc>
      </w:tr>
      <w:tr w:rsidR="00DA227F" w14:paraId="228C58F8" w14:textId="3E02B41B" w:rsidTr="00DA227F">
        <w:tc>
          <w:tcPr>
            <w:tcW w:w="1917" w:type="dxa"/>
          </w:tcPr>
          <w:p w14:paraId="55A24E27" w14:textId="77777777" w:rsidR="00DA227F" w:rsidRDefault="00DA227F" w:rsidP="00AD1D50">
            <w:r>
              <w:t>Stow et al. 2003</w:t>
            </w:r>
          </w:p>
        </w:tc>
        <w:tc>
          <w:tcPr>
            <w:tcW w:w="1895" w:type="dxa"/>
          </w:tcPr>
          <w:p w14:paraId="4E9D1BB6" w14:textId="77777777" w:rsidR="00DA227F" w:rsidRDefault="00DA227F" w:rsidP="00AD1D50">
            <w:r>
              <w:t>Process-based and empirical</w:t>
            </w:r>
          </w:p>
        </w:tc>
        <w:tc>
          <w:tcPr>
            <w:tcW w:w="2061" w:type="dxa"/>
          </w:tcPr>
          <w:p w14:paraId="7C3D0462" w14:textId="77777777" w:rsidR="00DA227F" w:rsidRDefault="00DA227F" w:rsidP="00AD1D50">
            <w:r>
              <w:t>Estuarine water quality</w:t>
            </w:r>
          </w:p>
        </w:tc>
        <w:tc>
          <w:tcPr>
            <w:tcW w:w="1862" w:type="dxa"/>
          </w:tcPr>
          <w:p w14:paraId="4BDE19B0" w14:textId="77777777" w:rsidR="00DA227F" w:rsidRDefault="00DA227F" w:rsidP="00AD1D50">
            <w:r>
              <w:t>Applied</w:t>
            </w:r>
          </w:p>
        </w:tc>
        <w:tc>
          <w:tcPr>
            <w:tcW w:w="1615" w:type="dxa"/>
          </w:tcPr>
          <w:p w14:paraId="08C43592" w14:textId="77777777" w:rsidR="00DA227F" w:rsidRDefault="00DA227F" w:rsidP="00AD1D50"/>
        </w:tc>
      </w:tr>
      <w:tr w:rsidR="00DA227F" w14:paraId="59F6FC67" w14:textId="6A47D9A2" w:rsidTr="00DA227F">
        <w:tc>
          <w:tcPr>
            <w:tcW w:w="1917" w:type="dxa"/>
          </w:tcPr>
          <w:p w14:paraId="7D3DE860" w14:textId="77777777" w:rsidR="00DA227F" w:rsidRDefault="00DA227F" w:rsidP="00AD1D50">
            <w:r>
              <w:t>Thomas et al. 2018</w:t>
            </w:r>
          </w:p>
        </w:tc>
        <w:tc>
          <w:tcPr>
            <w:tcW w:w="1895" w:type="dxa"/>
          </w:tcPr>
          <w:p w14:paraId="4B089340" w14:textId="77777777" w:rsidR="00DA227F" w:rsidRDefault="00DA227F" w:rsidP="00AD1D50">
            <w:r>
              <w:t>Empirical</w:t>
            </w:r>
          </w:p>
        </w:tc>
        <w:tc>
          <w:tcPr>
            <w:tcW w:w="2061" w:type="dxa"/>
          </w:tcPr>
          <w:p w14:paraId="2305D924" w14:textId="77777777" w:rsidR="00DA227F" w:rsidRDefault="00DA227F" w:rsidP="00AD1D50">
            <w:r>
              <w:t>Phytoplankton dynamics</w:t>
            </w:r>
          </w:p>
        </w:tc>
        <w:tc>
          <w:tcPr>
            <w:tcW w:w="1862" w:type="dxa"/>
          </w:tcPr>
          <w:p w14:paraId="3267FA38" w14:textId="77777777" w:rsidR="00DA227F" w:rsidRDefault="00DA227F" w:rsidP="00AD1D50">
            <w:r>
              <w:t>Basic</w:t>
            </w:r>
          </w:p>
        </w:tc>
        <w:tc>
          <w:tcPr>
            <w:tcW w:w="1615" w:type="dxa"/>
          </w:tcPr>
          <w:p w14:paraId="61751383" w14:textId="77777777" w:rsidR="00DA227F" w:rsidRDefault="00DA227F" w:rsidP="00AD1D50"/>
        </w:tc>
      </w:tr>
      <w:tr w:rsidR="00DA227F" w14:paraId="4ABBDF1B" w14:textId="637A6580" w:rsidTr="00DA227F">
        <w:tc>
          <w:tcPr>
            <w:tcW w:w="1917" w:type="dxa"/>
          </w:tcPr>
          <w:p w14:paraId="733DCEE3" w14:textId="77777777" w:rsidR="00DA227F" w:rsidRDefault="00DA227F" w:rsidP="00AD1D50">
            <w:proofErr w:type="spellStart"/>
            <w:r>
              <w:t>Thuiller</w:t>
            </w:r>
            <w:proofErr w:type="spellEnd"/>
            <w:r>
              <w:t xml:space="preserve"> et al. 2004</w:t>
            </w:r>
          </w:p>
        </w:tc>
        <w:tc>
          <w:tcPr>
            <w:tcW w:w="1895" w:type="dxa"/>
          </w:tcPr>
          <w:p w14:paraId="2536C1A5" w14:textId="77777777" w:rsidR="00DA227F" w:rsidRDefault="00DA227F" w:rsidP="00AD1D50">
            <w:r>
              <w:t>Empirical</w:t>
            </w:r>
          </w:p>
        </w:tc>
        <w:tc>
          <w:tcPr>
            <w:tcW w:w="2061" w:type="dxa"/>
          </w:tcPr>
          <w:p w14:paraId="40AF8F10" w14:textId="77777777" w:rsidR="00DA227F" w:rsidRDefault="00DA227F" w:rsidP="00AD1D50">
            <w:r>
              <w:t xml:space="preserve">Tree species distributions </w:t>
            </w:r>
          </w:p>
        </w:tc>
        <w:tc>
          <w:tcPr>
            <w:tcW w:w="1862" w:type="dxa"/>
          </w:tcPr>
          <w:p w14:paraId="2A103487" w14:textId="77777777" w:rsidR="00DA227F" w:rsidRDefault="00DA227F" w:rsidP="00AD1D50">
            <w:r>
              <w:t>Basic</w:t>
            </w:r>
          </w:p>
        </w:tc>
        <w:tc>
          <w:tcPr>
            <w:tcW w:w="1615" w:type="dxa"/>
          </w:tcPr>
          <w:p w14:paraId="6994C254" w14:textId="77777777" w:rsidR="00DA227F" w:rsidRDefault="00DA227F" w:rsidP="00AD1D50"/>
        </w:tc>
      </w:tr>
      <w:tr w:rsidR="00DA227F" w14:paraId="5A596E7D" w14:textId="0AF000C3" w:rsidTr="00DA227F">
        <w:tc>
          <w:tcPr>
            <w:tcW w:w="1917" w:type="dxa"/>
          </w:tcPr>
          <w:p w14:paraId="246AF443" w14:textId="77777777" w:rsidR="00DA227F" w:rsidRDefault="00DA227F" w:rsidP="00AD1D50">
            <w:r>
              <w:t xml:space="preserve">White and </w:t>
            </w:r>
            <w:proofErr w:type="spellStart"/>
            <w:r>
              <w:t>Nemani</w:t>
            </w:r>
            <w:proofErr w:type="spellEnd"/>
            <w:r>
              <w:t xml:space="preserve"> 2004</w:t>
            </w:r>
          </w:p>
        </w:tc>
        <w:tc>
          <w:tcPr>
            <w:tcW w:w="1895" w:type="dxa"/>
          </w:tcPr>
          <w:p w14:paraId="362985EF" w14:textId="77777777" w:rsidR="00DA227F" w:rsidRDefault="00DA227F" w:rsidP="00AD1D50">
            <w:r>
              <w:t>Process-based</w:t>
            </w:r>
          </w:p>
        </w:tc>
        <w:tc>
          <w:tcPr>
            <w:tcW w:w="2061" w:type="dxa"/>
          </w:tcPr>
          <w:p w14:paraId="7203E243" w14:textId="77777777" w:rsidR="00DA227F" w:rsidRDefault="00DA227F" w:rsidP="00AD1D50">
            <w:r>
              <w:t>Soil water</w:t>
            </w:r>
          </w:p>
        </w:tc>
        <w:tc>
          <w:tcPr>
            <w:tcW w:w="1862" w:type="dxa"/>
          </w:tcPr>
          <w:p w14:paraId="1A0C0646" w14:textId="77777777" w:rsidR="00DA227F" w:rsidRDefault="00DA227F" w:rsidP="00AD1D50">
            <w:r>
              <w:t>Basic</w:t>
            </w:r>
          </w:p>
        </w:tc>
        <w:tc>
          <w:tcPr>
            <w:tcW w:w="1615" w:type="dxa"/>
          </w:tcPr>
          <w:p w14:paraId="3459F010" w14:textId="77777777" w:rsidR="00DA227F" w:rsidRDefault="00DA227F" w:rsidP="00AD1D50"/>
        </w:tc>
      </w:tr>
    </w:tbl>
    <w:p w14:paraId="420E8230" w14:textId="77777777" w:rsidR="007548FC" w:rsidRDefault="007548FC" w:rsidP="007548FC">
      <w:pPr>
        <w:rPr>
          <w:rFonts w:asciiTheme="majorHAnsi" w:hAnsiTheme="majorHAnsi" w:cstheme="majorHAnsi"/>
        </w:rPr>
      </w:pPr>
    </w:p>
    <w:p w14:paraId="1B723FDF" w14:textId="5A491DF1" w:rsidR="00240B11" w:rsidRPr="007548FC" w:rsidRDefault="00240B11" w:rsidP="007548FC">
      <w:pPr>
        <w:rPr>
          <w:rFonts w:asciiTheme="majorHAnsi" w:hAnsiTheme="majorHAnsi" w:cstheme="majorHAnsi"/>
        </w:rPr>
      </w:pPr>
      <w:r w:rsidRPr="007548FC">
        <w:rPr>
          <w:rFonts w:asciiTheme="majorHAnsi" w:hAnsiTheme="majorHAnsi" w:cstheme="majorHAnsi"/>
        </w:rPr>
        <w:t>My first chapter will focus on addressing the knowledge gap in ecological forecasting regarding how best to forecast water quality. I will produce hindcasts and near-term iterative forecasts of phytoplankton in a drinking water reservoir using both an empirical and a process-based approach. Model performance will be assessed by a suite of metrics addressing both the ability of the model to capture overall dynamics, as well as extreme events. My work will specifically address the following questions:</w:t>
      </w:r>
    </w:p>
    <w:p w14:paraId="09090BAF" w14:textId="4010D57B" w:rsidR="00FE2CD8" w:rsidRPr="00191BF5" w:rsidRDefault="00BA5D71"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1: How </w:t>
      </w:r>
      <w:r w:rsidR="00FE2CD8" w:rsidRPr="00191BF5">
        <w:rPr>
          <w:rFonts w:asciiTheme="majorHAnsi" w:hAnsiTheme="majorHAnsi" w:cstheme="majorHAnsi"/>
        </w:rPr>
        <w:t xml:space="preserve">well can </w:t>
      </w:r>
      <w:r w:rsidRPr="00191BF5">
        <w:rPr>
          <w:rFonts w:asciiTheme="majorHAnsi" w:hAnsiTheme="majorHAnsi" w:cstheme="majorHAnsi"/>
        </w:rPr>
        <w:t xml:space="preserve">an empirical </w:t>
      </w:r>
      <w:r w:rsidR="00FE2CD8" w:rsidRPr="00191BF5">
        <w:rPr>
          <w:rFonts w:asciiTheme="majorHAnsi" w:hAnsiTheme="majorHAnsi" w:cstheme="majorHAnsi"/>
        </w:rPr>
        <w:t xml:space="preserve">model </w:t>
      </w:r>
      <w:r w:rsidRPr="00191BF5">
        <w:rPr>
          <w:rFonts w:asciiTheme="majorHAnsi" w:hAnsiTheme="majorHAnsi" w:cstheme="majorHAnsi"/>
        </w:rPr>
        <w:t xml:space="preserve">and a process-based model </w:t>
      </w:r>
      <w:r w:rsidR="00397952">
        <w:rPr>
          <w:rFonts w:asciiTheme="majorHAnsi" w:hAnsiTheme="majorHAnsi" w:cstheme="majorHAnsi"/>
        </w:rPr>
        <w:t>hindcast</w:t>
      </w:r>
      <w:r w:rsidR="00FE2CD8" w:rsidRPr="00191BF5">
        <w:rPr>
          <w:rFonts w:asciiTheme="majorHAnsi" w:hAnsiTheme="majorHAnsi" w:cstheme="majorHAnsi"/>
        </w:rPr>
        <w:t xml:space="preserve"> observed chlorophyll dynamics?</w:t>
      </w:r>
    </w:p>
    <w:p w14:paraId="3B11EF7F" w14:textId="50636A75" w:rsidR="00FE2CD8" w:rsidRPr="00191BF5" w:rsidRDefault="00FE2CD8" w:rsidP="00BA5D71">
      <w:pPr>
        <w:pStyle w:val="ListParagraph"/>
        <w:numPr>
          <w:ilvl w:val="1"/>
          <w:numId w:val="8"/>
        </w:numPr>
        <w:rPr>
          <w:rFonts w:asciiTheme="majorHAnsi" w:hAnsiTheme="majorHAnsi" w:cstheme="majorHAnsi"/>
        </w:rPr>
      </w:pPr>
      <w:r w:rsidRPr="00191BF5">
        <w:rPr>
          <w:rFonts w:asciiTheme="majorHAnsi" w:hAnsiTheme="majorHAnsi" w:cstheme="majorHAnsi"/>
        </w:rPr>
        <w:t xml:space="preserve">Question 2: </w:t>
      </w:r>
      <w:r w:rsidR="00B67703">
        <w:rPr>
          <w:rFonts w:asciiTheme="majorHAnsi" w:hAnsiTheme="majorHAnsi" w:cstheme="majorHAnsi"/>
        </w:rPr>
        <w:t xml:space="preserve">How well can an empirical model and a process-based </w:t>
      </w:r>
      <w:r w:rsidR="00397952">
        <w:rPr>
          <w:rFonts w:asciiTheme="majorHAnsi" w:hAnsiTheme="majorHAnsi" w:cstheme="majorHAnsi"/>
        </w:rPr>
        <w:t xml:space="preserve">model </w:t>
      </w:r>
      <w:r w:rsidR="00B67703">
        <w:rPr>
          <w:rFonts w:asciiTheme="majorHAnsi" w:hAnsiTheme="majorHAnsi" w:cstheme="majorHAnsi"/>
        </w:rPr>
        <w:t>forecast near-term chlorophyll-a dynamics over a 16-day period</w:t>
      </w:r>
      <w:r w:rsidR="00DA227F">
        <w:rPr>
          <w:rFonts w:asciiTheme="majorHAnsi" w:hAnsiTheme="majorHAnsi" w:cstheme="majorHAnsi"/>
        </w:rPr>
        <w:t xml:space="preserve"> </w:t>
      </w:r>
      <w:r w:rsidR="00DA227F">
        <w:rPr>
          <w:rFonts w:asciiTheme="majorHAnsi" w:hAnsiTheme="majorHAnsi" w:cstheme="majorHAnsi"/>
        </w:rPr>
        <w:t>(assessed through quantified uncertainties of a probabilistic forecast compared to observed dynamics)</w:t>
      </w:r>
      <w:r w:rsidR="00B67703">
        <w:rPr>
          <w:rFonts w:asciiTheme="majorHAnsi" w:hAnsiTheme="majorHAnsi" w:cstheme="majorHAnsi"/>
        </w:rPr>
        <w:t>?</w:t>
      </w:r>
      <w:r w:rsidR="00BA5D71" w:rsidRPr="00191BF5">
        <w:rPr>
          <w:rFonts w:asciiTheme="majorHAnsi" w:hAnsiTheme="majorHAnsi" w:cstheme="majorHAnsi"/>
        </w:rPr>
        <w:t xml:space="preserve"> </w:t>
      </w:r>
    </w:p>
    <w:p w14:paraId="3A1DBA72" w14:textId="77777777" w:rsidR="00BA5D71" w:rsidRPr="00F67C47" w:rsidRDefault="00FE2CD8" w:rsidP="006B06BB">
      <w:pPr>
        <w:pStyle w:val="ListParagraph"/>
        <w:numPr>
          <w:ilvl w:val="1"/>
          <w:numId w:val="8"/>
        </w:numPr>
        <w:rPr>
          <w:rFonts w:asciiTheme="majorHAnsi" w:hAnsiTheme="majorHAnsi" w:cstheme="majorHAnsi"/>
          <w:b/>
        </w:rPr>
      </w:pPr>
      <w:r w:rsidRPr="00191BF5">
        <w:rPr>
          <w:rFonts w:asciiTheme="majorHAnsi" w:hAnsiTheme="majorHAnsi" w:cstheme="majorHAnsi"/>
        </w:rPr>
        <w:lastRenderedPageBreak/>
        <w:t xml:space="preserve">Question 3: What information does an ensemble model approach provide for chlorophyll forecasting that cannot </w:t>
      </w:r>
      <w:r w:rsidR="00F4340F" w:rsidRPr="00191BF5">
        <w:rPr>
          <w:rFonts w:asciiTheme="majorHAnsi" w:hAnsiTheme="majorHAnsi" w:cstheme="majorHAnsi"/>
        </w:rPr>
        <w:t>be explained</w:t>
      </w:r>
      <w:r w:rsidRPr="00191BF5">
        <w:rPr>
          <w:rFonts w:asciiTheme="majorHAnsi" w:hAnsiTheme="majorHAnsi" w:cstheme="majorHAnsi"/>
        </w:rPr>
        <w:t xml:space="preserve"> from a single-model approach?</w:t>
      </w:r>
    </w:p>
    <w:p w14:paraId="2186830E" w14:textId="77777777" w:rsidR="00E82FAF" w:rsidRPr="00E82FAF" w:rsidRDefault="00E82FAF" w:rsidP="00E82FAF">
      <w:pPr>
        <w:pStyle w:val="ListParagraph"/>
        <w:numPr>
          <w:ilvl w:val="0"/>
          <w:numId w:val="8"/>
        </w:numPr>
        <w:rPr>
          <w:rFonts w:asciiTheme="majorHAnsi" w:hAnsiTheme="majorHAnsi" w:cstheme="majorHAnsi"/>
        </w:rPr>
      </w:pPr>
      <w:r w:rsidRPr="00191BF5">
        <w:rPr>
          <w:rFonts w:asciiTheme="majorHAnsi" w:hAnsiTheme="majorHAnsi" w:cstheme="majorHAnsi"/>
        </w:rPr>
        <w:t xml:space="preserve">This </w:t>
      </w:r>
      <w:r w:rsidR="00BE0607">
        <w:rPr>
          <w:rFonts w:asciiTheme="majorHAnsi" w:hAnsiTheme="majorHAnsi" w:cstheme="majorHAnsi"/>
        </w:rPr>
        <w:t>C</w:t>
      </w:r>
      <w:r w:rsidRPr="00191BF5">
        <w:rPr>
          <w:rFonts w:asciiTheme="majorHAnsi" w:hAnsiTheme="majorHAnsi" w:cstheme="majorHAnsi"/>
        </w:rPr>
        <w:t>hapter 1 will thus</w:t>
      </w:r>
      <w:r w:rsidR="0018590B">
        <w:rPr>
          <w:rFonts w:asciiTheme="majorHAnsi" w:hAnsiTheme="majorHAnsi" w:cstheme="majorHAnsi"/>
        </w:rPr>
        <w:t xml:space="preserve"> span the field of applied and basic forecasting science by</w:t>
      </w:r>
      <w:r w:rsidRPr="00191BF5">
        <w:rPr>
          <w:rFonts w:asciiTheme="majorHAnsi" w:hAnsiTheme="majorHAnsi" w:cstheme="majorHAnsi"/>
          <w:b/>
        </w:rPr>
        <w:t>: 1) inform</w:t>
      </w:r>
      <w:r w:rsidR="0018590B">
        <w:rPr>
          <w:rFonts w:asciiTheme="majorHAnsi" w:hAnsiTheme="majorHAnsi" w:cstheme="majorHAnsi"/>
          <w:b/>
        </w:rPr>
        <w:t>ing</w:t>
      </w:r>
      <w:r w:rsidRPr="00191BF5">
        <w:rPr>
          <w:rFonts w:asciiTheme="majorHAnsi" w:hAnsiTheme="majorHAnsi" w:cstheme="majorHAnsi"/>
          <w:b/>
        </w:rPr>
        <w:t xml:space="preserve"> managers and decision-makers about which variables are most important for routine monitoring and management of water quality in the face of land use and climate change, 2) provid</w:t>
      </w:r>
      <w:r w:rsidR="0018590B">
        <w:rPr>
          <w:rFonts w:asciiTheme="majorHAnsi" w:hAnsiTheme="majorHAnsi" w:cstheme="majorHAnsi"/>
          <w:b/>
        </w:rPr>
        <w:t>ing</w:t>
      </w:r>
      <w:r w:rsidRPr="00191BF5">
        <w:rPr>
          <w:rFonts w:asciiTheme="majorHAnsi" w:hAnsiTheme="majorHAnsi" w:cstheme="majorHAnsi"/>
          <w:b/>
        </w:rPr>
        <w:t xml:space="preserve"> essential information </w:t>
      </w:r>
      <w:r>
        <w:rPr>
          <w:rFonts w:asciiTheme="majorHAnsi" w:hAnsiTheme="majorHAnsi" w:cstheme="majorHAnsi"/>
          <w:b/>
        </w:rPr>
        <w:t>to the freshwater research community regarding modeling approaches to forecasting water quality, and 3) expand</w:t>
      </w:r>
      <w:r w:rsidR="0018590B">
        <w:rPr>
          <w:rFonts w:asciiTheme="majorHAnsi" w:hAnsiTheme="majorHAnsi" w:cstheme="majorHAnsi"/>
          <w:b/>
        </w:rPr>
        <w:t>ing</w:t>
      </w:r>
      <w:r>
        <w:rPr>
          <w:rFonts w:asciiTheme="majorHAnsi" w:hAnsiTheme="majorHAnsi" w:cstheme="majorHAnsi"/>
          <w:b/>
        </w:rPr>
        <w:t xml:space="preserve"> the scientific field of ecological forecasting </w:t>
      </w:r>
      <w:r w:rsidRPr="00E82FAF">
        <w:rPr>
          <w:rFonts w:asciiTheme="majorHAnsi" w:hAnsiTheme="majorHAnsi" w:cstheme="majorHAnsi"/>
          <w:b/>
        </w:rPr>
        <w:t xml:space="preserve">that will guide forecasting applications across many different ecosystems.  </w:t>
      </w:r>
    </w:p>
    <w:p w14:paraId="405E692E" w14:textId="77777777" w:rsidR="00A04A63" w:rsidRPr="00191BF5" w:rsidRDefault="00A04A63" w:rsidP="008E2132">
      <w:pPr>
        <w:spacing w:after="0" w:line="240" w:lineRule="auto"/>
        <w:rPr>
          <w:rFonts w:asciiTheme="majorHAnsi" w:hAnsiTheme="majorHAnsi" w:cstheme="majorHAnsi"/>
          <w:i/>
          <w:u w:val="single"/>
        </w:rPr>
      </w:pPr>
    </w:p>
    <w:p w14:paraId="00F5F34A" w14:textId="77777777" w:rsidR="00D84741" w:rsidRPr="00191BF5" w:rsidRDefault="00D84741" w:rsidP="00F43434">
      <w:pPr>
        <w:spacing w:after="0" w:line="240" w:lineRule="auto"/>
        <w:rPr>
          <w:rFonts w:asciiTheme="majorHAnsi" w:hAnsiTheme="majorHAnsi" w:cstheme="majorHAnsi"/>
          <w:b/>
        </w:rPr>
      </w:pPr>
      <w:r w:rsidRPr="00191BF5">
        <w:rPr>
          <w:rFonts w:asciiTheme="majorHAnsi" w:hAnsiTheme="majorHAnsi" w:cstheme="majorHAnsi"/>
          <w:b/>
          <w:sz w:val="24"/>
        </w:rPr>
        <w:t>Methods</w:t>
      </w:r>
    </w:p>
    <w:p w14:paraId="756B2A44" w14:textId="77777777" w:rsidR="00DA227F" w:rsidRDefault="00DA227F" w:rsidP="00DA227F">
      <w:pPr>
        <w:spacing w:after="0" w:line="240" w:lineRule="auto"/>
        <w:rPr>
          <w:rFonts w:asciiTheme="majorHAnsi" w:hAnsiTheme="majorHAnsi" w:cstheme="majorHAnsi"/>
          <w:i/>
        </w:rPr>
      </w:pPr>
    </w:p>
    <w:p w14:paraId="76830EBC" w14:textId="65B8964E" w:rsidR="00FB7532" w:rsidRPr="00DA227F" w:rsidRDefault="00FB7532" w:rsidP="00DA227F">
      <w:pPr>
        <w:spacing w:after="0" w:line="240" w:lineRule="auto"/>
        <w:rPr>
          <w:rFonts w:asciiTheme="majorHAnsi" w:hAnsiTheme="majorHAnsi" w:cstheme="majorHAnsi"/>
          <w:i/>
        </w:rPr>
      </w:pPr>
      <w:r w:rsidRPr="00DA227F">
        <w:rPr>
          <w:rFonts w:asciiTheme="majorHAnsi" w:hAnsiTheme="majorHAnsi" w:cstheme="majorHAnsi"/>
          <w:i/>
        </w:rPr>
        <w:t>Study Site</w:t>
      </w:r>
    </w:p>
    <w:p w14:paraId="1CD92CA0" w14:textId="05A06589" w:rsidR="0094434B" w:rsidRPr="00DA227F" w:rsidRDefault="00FC258B" w:rsidP="00DA227F">
      <w:pPr>
        <w:spacing w:after="0" w:line="240" w:lineRule="auto"/>
        <w:rPr>
          <w:rFonts w:asciiTheme="majorHAnsi" w:hAnsiTheme="majorHAnsi" w:cstheme="majorHAnsi"/>
        </w:rPr>
      </w:pPr>
      <w:r w:rsidRPr="00DA227F">
        <w:rPr>
          <w:rFonts w:asciiTheme="majorHAnsi" w:hAnsiTheme="majorHAnsi" w:cstheme="majorHAnsi"/>
        </w:rPr>
        <w:t>Falling Creek Reservoir (FCR) is a small (~12 ha), shallow (maximum depth &lt; 9.3m) dimictic drinking water reservoir located in southwestern Virginia. FCR is owned and operated by the Western Virginia Water Authority (WVWA)</w:t>
      </w:r>
      <w:r w:rsidR="00D22EDC" w:rsidRPr="00DA227F">
        <w:rPr>
          <w:rFonts w:asciiTheme="majorHAnsi" w:hAnsiTheme="majorHAnsi" w:cstheme="majorHAnsi"/>
        </w:rPr>
        <w:t>. The watershed of FCR is almost entirely forested,</w:t>
      </w:r>
      <w:r w:rsidR="005D30B3" w:rsidRPr="00DA227F">
        <w:rPr>
          <w:rFonts w:asciiTheme="majorHAnsi" w:hAnsiTheme="majorHAnsi" w:cstheme="majorHAnsi"/>
        </w:rPr>
        <w:t xml:space="preserve"> although the reservoir continues to exhibit incidences of poor water quality as a result of historical eutrophication of the reservoir (Gerling et al 2016)</w:t>
      </w:r>
      <w:r w:rsidRPr="00DA227F">
        <w:rPr>
          <w:rFonts w:asciiTheme="majorHAnsi" w:hAnsiTheme="majorHAnsi" w:cstheme="majorHAnsi"/>
        </w:rPr>
        <w:t xml:space="preserve">. </w:t>
      </w:r>
      <w:r w:rsidR="002A2263" w:rsidRPr="00DA227F">
        <w:rPr>
          <w:rFonts w:asciiTheme="majorHAnsi" w:hAnsiTheme="majorHAnsi" w:cstheme="majorHAnsi"/>
        </w:rPr>
        <w:t xml:space="preserve">The major water source to FCR comes from a single tributary which flows from Beaverdam Reservoir (BVR; Figure </w:t>
      </w:r>
      <w:r w:rsidR="00DA227F">
        <w:rPr>
          <w:rFonts w:asciiTheme="majorHAnsi" w:hAnsiTheme="majorHAnsi" w:cstheme="majorHAnsi"/>
        </w:rPr>
        <w:t>1</w:t>
      </w:r>
      <w:r w:rsidR="002A2263" w:rsidRPr="00DA227F">
        <w:rPr>
          <w:rFonts w:asciiTheme="majorHAnsi" w:hAnsiTheme="majorHAnsi" w:cstheme="majorHAnsi"/>
        </w:rPr>
        <w:t>).</w:t>
      </w:r>
    </w:p>
    <w:p w14:paraId="5291AB8C" w14:textId="77777777" w:rsidR="00BE0607" w:rsidRDefault="00BE0607" w:rsidP="00BE0607">
      <w:pPr>
        <w:pStyle w:val="ListParagraph"/>
        <w:spacing w:after="0" w:line="240" w:lineRule="auto"/>
        <w:ind w:left="1440"/>
        <w:rPr>
          <w:rFonts w:asciiTheme="majorHAnsi" w:hAnsiTheme="majorHAnsi" w:cstheme="majorHAnsi"/>
        </w:rPr>
      </w:pPr>
      <w:r w:rsidRPr="00BE0607">
        <w:rPr>
          <w:rFonts w:asciiTheme="majorHAnsi" w:hAnsiTheme="majorHAnsi" w:cstheme="majorHAnsi"/>
          <w:noProof/>
        </w:rPr>
        <w:drawing>
          <wp:inline distT="0" distB="0" distL="0" distR="0" wp14:anchorId="3E5D83EC" wp14:editId="249ACE9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96F0741" w14:textId="102C424B" w:rsidR="00BE0607" w:rsidRPr="00BE0607" w:rsidRDefault="00BE0607" w:rsidP="00BE0607">
      <w:pPr>
        <w:spacing w:after="0" w:line="240" w:lineRule="auto"/>
        <w:ind w:left="1080"/>
        <w:rPr>
          <w:rFonts w:asciiTheme="majorHAnsi" w:hAnsiTheme="majorHAnsi" w:cstheme="majorHAnsi"/>
        </w:rPr>
      </w:pPr>
      <w:r>
        <w:rPr>
          <w:rFonts w:asciiTheme="majorHAnsi" w:hAnsiTheme="majorHAnsi" w:cstheme="majorHAnsi"/>
        </w:rPr>
        <w:t xml:space="preserve">Figure </w:t>
      </w:r>
      <w:r w:rsidR="00A60B4B">
        <w:rPr>
          <w:rFonts w:asciiTheme="majorHAnsi" w:hAnsiTheme="majorHAnsi" w:cstheme="majorHAnsi"/>
        </w:rPr>
        <w:t>1</w:t>
      </w:r>
      <w:r>
        <w:rPr>
          <w:rFonts w:asciiTheme="majorHAnsi" w:hAnsiTheme="majorHAnsi" w:cstheme="majorHAnsi"/>
        </w:rPr>
        <w:t>. Map of Falling Creek Reservoir and Beaverdam Reservoir and their watersheds</w:t>
      </w:r>
    </w:p>
    <w:p w14:paraId="1E46DB33" w14:textId="77777777" w:rsidR="00DA227F" w:rsidRDefault="00DA227F" w:rsidP="00DA227F">
      <w:pPr>
        <w:spacing w:after="0" w:line="240" w:lineRule="auto"/>
        <w:rPr>
          <w:rFonts w:asciiTheme="majorHAnsi" w:hAnsiTheme="majorHAnsi" w:cstheme="majorHAnsi"/>
          <w:b/>
        </w:rPr>
      </w:pPr>
    </w:p>
    <w:p w14:paraId="737629F1" w14:textId="2B635F2C" w:rsidR="005D30B3" w:rsidRPr="00DA227F" w:rsidRDefault="005D30B3" w:rsidP="00DA227F">
      <w:pPr>
        <w:spacing w:after="0" w:line="240" w:lineRule="auto"/>
        <w:rPr>
          <w:rFonts w:asciiTheme="majorHAnsi" w:hAnsiTheme="majorHAnsi" w:cstheme="majorHAnsi"/>
          <w:i/>
        </w:rPr>
      </w:pPr>
      <w:r w:rsidRPr="00DA227F">
        <w:rPr>
          <w:rFonts w:asciiTheme="majorHAnsi" w:hAnsiTheme="majorHAnsi" w:cstheme="majorHAnsi"/>
          <w:i/>
        </w:rPr>
        <w:t>Historical</w:t>
      </w:r>
      <w:r w:rsidR="002A2263" w:rsidRPr="00DA227F">
        <w:rPr>
          <w:rFonts w:asciiTheme="majorHAnsi" w:hAnsiTheme="majorHAnsi" w:cstheme="majorHAnsi"/>
          <w:i/>
        </w:rPr>
        <w:t xml:space="preserve"> and sensor dataset</w:t>
      </w:r>
    </w:p>
    <w:p w14:paraId="173400E2" w14:textId="02BE7502" w:rsidR="00FC258B" w:rsidRPr="00DA227F" w:rsidRDefault="005D30B3" w:rsidP="00DA227F">
      <w:pPr>
        <w:spacing w:after="0" w:line="240" w:lineRule="auto"/>
        <w:rPr>
          <w:rFonts w:asciiTheme="majorHAnsi" w:hAnsiTheme="majorHAnsi" w:cstheme="majorHAnsi"/>
        </w:rPr>
      </w:pPr>
      <w:r w:rsidRPr="00DA227F">
        <w:rPr>
          <w:rFonts w:asciiTheme="majorHAnsi" w:hAnsiTheme="majorHAnsi" w:cstheme="majorHAnsi"/>
        </w:rPr>
        <w:t xml:space="preserve">An extensive, routine monitoring dataset </w:t>
      </w:r>
      <w:r w:rsidR="00167666" w:rsidRPr="00DA227F">
        <w:rPr>
          <w:rFonts w:asciiTheme="majorHAnsi" w:hAnsiTheme="majorHAnsi" w:cstheme="majorHAnsi"/>
        </w:rPr>
        <w:t>of water quality in</w:t>
      </w:r>
      <w:r w:rsidR="002A2263" w:rsidRPr="00DA227F">
        <w:rPr>
          <w:rFonts w:asciiTheme="majorHAnsi" w:hAnsiTheme="majorHAnsi" w:cstheme="majorHAnsi"/>
        </w:rPr>
        <w:t xml:space="preserve"> FCR </w:t>
      </w:r>
      <w:r w:rsidR="00167666" w:rsidRPr="00DA227F">
        <w:rPr>
          <w:rFonts w:asciiTheme="majorHAnsi" w:hAnsiTheme="majorHAnsi" w:cstheme="majorHAnsi"/>
        </w:rPr>
        <w:t xml:space="preserve">has been collected </w:t>
      </w:r>
      <w:r w:rsidRPr="00DA227F">
        <w:rPr>
          <w:rFonts w:asciiTheme="majorHAnsi" w:hAnsiTheme="majorHAnsi" w:cstheme="majorHAnsi"/>
        </w:rPr>
        <w:t>since 2013 in collaboration with the WVWA and Virginia Tech</w:t>
      </w:r>
      <w:r w:rsidR="00EB2201" w:rsidRPr="00DA227F">
        <w:rPr>
          <w:rFonts w:asciiTheme="majorHAnsi" w:hAnsiTheme="majorHAnsi" w:cstheme="majorHAnsi"/>
        </w:rPr>
        <w:t xml:space="preserve">. This dataset includes </w:t>
      </w:r>
      <w:r w:rsidRPr="00DA227F">
        <w:rPr>
          <w:rFonts w:asciiTheme="majorHAnsi" w:hAnsiTheme="majorHAnsi" w:cstheme="majorHAnsi"/>
        </w:rPr>
        <w:t xml:space="preserve">meteorological, physical, chemical, </w:t>
      </w:r>
      <w:r w:rsidRPr="00DA227F">
        <w:rPr>
          <w:rFonts w:asciiTheme="majorHAnsi" w:hAnsiTheme="majorHAnsi" w:cstheme="majorHAnsi"/>
        </w:rPr>
        <w:lastRenderedPageBreak/>
        <w:t>and biological data</w:t>
      </w:r>
      <w:r w:rsidR="00EB2201" w:rsidRPr="00DA227F">
        <w:rPr>
          <w:rFonts w:asciiTheme="majorHAnsi" w:hAnsiTheme="majorHAnsi" w:cstheme="majorHAnsi"/>
        </w:rPr>
        <w:t xml:space="preserve"> collected both at the deep hole of the reservoir and at the major inflow to FCR</w:t>
      </w:r>
      <w:r w:rsidR="00B33F29" w:rsidRPr="00DA227F">
        <w:rPr>
          <w:rFonts w:asciiTheme="majorHAnsi" w:hAnsiTheme="majorHAnsi" w:cstheme="majorHAnsi"/>
        </w:rPr>
        <w:t xml:space="preserve"> </w:t>
      </w:r>
      <w:commentRangeStart w:id="1"/>
      <w:r w:rsidR="00B33F29" w:rsidRPr="00DA227F">
        <w:rPr>
          <w:rFonts w:asciiTheme="majorHAnsi" w:hAnsiTheme="majorHAnsi" w:cstheme="majorHAnsi"/>
        </w:rPr>
        <w:t>(add lots of lab citations here)</w:t>
      </w:r>
      <w:commentRangeEnd w:id="1"/>
      <w:r w:rsidR="00DA227F">
        <w:rPr>
          <w:rStyle w:val="CommentReference"/>
        </w:rPr>
        <w:commentReference w:id="1"/>
      </w:r>
      <w:r w:rsidRPr="00DA227F">
        <w:rPr>
          <w:rFonts w:asciiTheme="majorHAnsi" w:hAnsiTheme="majorHAnsi" w:cstheme="majorHAnsi"/>
        </w:rPr>
        <w:t>.</w:t>
      </w:r>
      <w:r w:rsidR="00EB2201" w:rsidRPr="00DA227F">
        <w:rPr>
          <w:rFonts w:asciiTheme="majorHAnsi" w:hAnsiTheme="majorHAnsi" w:cstheme="majorHAnsi"/>
        </w:rPr>
        <w:t xml:space="preserve"> The inflow dataset also includes discharge to the reservoir measured every 15 minutes at a weir installed at the stream site.</w:t>
      </w:r>
      <w:r w:rsidR="002A2263" w:rsidRPr="00DA227F">
        <w:rPr>
          <w:rFonts w:asciiTheme="majorHAnsi" w:hAnsiTheme="majorHAnsi" w:cstheme="majorHAnsi"/>
        </w:rPr>
        <w:t xml:space="preserve"> </w:t>
      </w:r>
      <w:r w:rsidRPr="00DA227F">
        <w:rPr>
          <w:rFonts w:asciiTheme="majorHAnsi" w:hAnsiTheme="majorHAnsi" w:cstheme="majorHAnsi"/>
        </w:rPr>
        <w:t>More recently, a</w:t>
      </w:r>
      <w:r w:rsidR="00FC258B" w:rsidRPr="00DA227F">
        <w:rPr>
          <w:rFonts w:asciiTheme="majorHAnsi" w:hAnsiTheme="majorHAnsi" w:cstheme="majorHAnsi"/>
        </w:rPr>
        <w:t>s part of the Smart and Connected Communities (SCC) project, FCR has been outfitted with numerous high-frequency sensors to capture real-time changes in water quality.</w:t>
      </w:r>
      <w:r w:rsidR="002A2263" w:rsidRPr="00DA227F">
        <w:rPr>
          <w:rFonts w:asciiTheme="majorHAnsi" w:hAnsiTheme="majorHAnsi" w:cstheme="majorHAnsi"/>
        </w:rPr>
        <w:t xml:space="preserve"> These data are </w:t>
      </w:r>
      <w:r w:rsidR="00D22EDC" w:rsidRPr="00DA227F">
        <w:rPr>
          <w:rFonts w:asciiTheme="majorHAnsi" w:hAnsiTheme="majorHAnsi" w:cstheme="majorHAnsi"/>
        </w:rPr>
        <w:t xml:space="preserve">streamed wirelessly to an online server and appended to the ongoing datafile. Sensor data includes meteorological, physical, </w:t>
      </w:r>
      <w:r w:rsidR="00167666" w:rsidRPr="00DA227F">
        <w:rPr>
          <w:rFonts w:asciiTheme="majorHAnsi" w:hAnsiTheme="majorHAnsi" w:cstheme="majorHAnsi"/>
        </w:rPr>
        <w:t xml:space="preserve">chemical, </w:t>
      </w:r>
      <w:r w:rsidR="00D22EDC" w:rsidRPr="00DA227F">
        <w:rPr>
          <w:rFonts w:asciiTheme="majorHAnsi" w:hAnsiTheme="majorHAnsi" w:cstheme="majorHAnsi"/>
        </w:rPr>
        <w:t xml:space="preserve">and biological data. </w:t>
      </w:r>
    </w:p>
    <w:p w14:paraId="1B83B086" w14:textId="77777777" w:rsidR="00E464A2" w:rsidRDefault="00E464A2" w:rsidP="00E464A2">
      <w:pPr>
        <w:spacing w:after="0" w:line="240" w:lineRule="auto"/>
        <w:rPr>
          <w:rFonts w:asciiTheme="majorHAnsi" w:hAnsiTheme="majorHAnsi" w:cstheme="majorHAnsi"/>
          <w:b/>
        </w:rPr>
      </w:pPr>
    </w:p>
    <w:p w14:paraId="41129B2B" w14:textId="2B634CBD" w:rsidR="005367DC" w:rsidRPr="00E464A2" w:rsidRDefault="005367DC" w:rsidP="00E464A2">
      <w:pPr>
        <w:spacing w:after="0" w:line="240" w:lineRule="auto"/>
        <w:rPr>
          <w:rFonts w:asciiTheme="majorHAnsi" w:hAnsiTheme="majorHAnsi" w:cstheme="majorHAnsi"/>
          <w:i/>
        </w:rPr>
      </w:pPr>
      <w:r w:rsidRPr="00E464A2">
        <w:rPr>
          <w:rFonts w:asciiTheme="majorHAnsi" w:hAnsiTheme="majorHAnsi" w:cstheme="majorHAnsi"/>
          <w:i/>
        </w:rPr>
        <w:t>Model Development</w:t>
      </w:r>
      <w:r w:rsidR="002B10E7" w:rsidRPr="00E464A2">
        <w:rPr>
          <w:rFonts w:asciiTheme="majorHAnsi" w:hAnsiTheme="majorHAnsi" w:cstheme="majorHAnsi"/>
          <w:i/>
        </w:rPr>
        <w:t xml:space="preserve"> (Question 1)</w:t>
      </w:r>
    </w:p>
    <w:p w14:paraId="01D79BE3" w14:textId="386B0D22" w:rsidR="00397952" w:rsidRPr="00E464A2" w:rsidRDefault="00397952" w:rsidP="00E464A2">
      <w:pPr>
        <w:spacing w:after="0" w:line="240" w:lineRule="auto"/>
        <w:rPr>
          <w:rFonts w:asciiTheme="majorHAnsi" w:hAnsiTheme="majorHAnsi" w:cstheme="majorHAnsi"/>
        </w:rPr>
      </w:pPr>
      <w:r w:rsidRPr="00E464A2">
        <w:rPr>
          <w:rFonts w:asciiTheme="majorHAnsi" w:hAnsiTheme="majorHAnsi" w:cstheme="majorHAnsi"/>
        </w:rPr>
        <w:t xml:space="preserve">We </w:t>
      </w:r>
      <w:r w:rsidR="007D0E56" w:rsidRPr="00E464A2">
        <w:rPr>
          <w:rFonts w:asciiTheme="majorHAnsi" w:hAnsiTheme="majorHAnsi" w:cstheme="majorHAnsi"/>
        </w:rPr>
        <w:t>will develop</w:t>
      </w:r>
      <w:r w:rsidRPr="00E464A2">
        <w:rPr>
          <w:rFonts w:asciiTheme="majorHAnsi" w:hAnsiTheme="majorHAnsi" w:cstheme="majorHAnsi"/>
        </w:rPr>
        <w:t xml:space="preserve"> both an empirical and a process-based model to forecast chlorophyll-a in the surface water (1.0 m) at FCR during the summer stratified period (May-October)</w:t>
      </w:r>
      <w:r w:rsidR="00026A6E" w:rsidRPr="00E464A2">
        <w:rPr>
          <w:rFonts w:asciiTheme="majorHAnsi" w:hAnsiTheme="majorHAnsi" w:cstheme="majorHAnsi"/>
        </w:rPr>
        <w:t xml:space="preserve"> when phytoplankton populations are at their highest</w:t>
      </w:r>
      <w:r w:rsidRPr="00E464A2">
        <w:rPr>
          <w:rFonts w:asciiTheme="majorHAnsi" w:hAnsiTheme="majorHAnsi" w:cstheme="majorHAnsi"/>
        </w:rPr>
        <w:t xml:space="preserve">. </w:t>
      </w:r>
      <w:r w:rsidR="00F67C47" w:rsidRPr="00E464A2">
        <w:rPr>
          <w:rFonts w:asciiTheme="majorHAnsi" w:hAnsiTheme="majorHAnsi" w:cstheme="majorHAnsi"/>
        </w:rPr>
        <w:t xml:space="preserve">The training period for </w:t>
      </w:r>
      <w:r w:rsidR="00A60B4B" w:rsidRPr="00E464A2">
        <w:rPr>
          <w:rFonts w:asciiTheme="majorHAnsi" w:hAnsiTheme="majorHAnsi" w:cstheme="majorHAnsi"/>
        </w:rPr>
        <w:t xml:space="preserve">both models will be 2013-2016 during which we have regularly, weekly coverage of both response and driver data. </w:t>
      </w:r>
      <w:r w:rsidR="00F67C47" w:rsidRPr="00E464A2">
        <w:rPr>
          <w:rFonts w:asciiTheme="majorHAnsi" w:hAnsiTheme="majorHAnsi" w:cstheme="majorHAnsi"/>
        </w:rPr>
        <w:t xml:space="preserve">Both models will be </w:t>
      </w:r>
      <w:r w:rsidR="00E741C4" w:rsidRPr="00E464A2">
        <w:rPr>
          <w:rFonts w:asciiTheme="majorHAnsi" w:hAnsiTheme="majorHAnsi" w:cstheme="majorHAnsi"/>
        </w:rPr>
        <w:t>validated</w:t>
      </w:r>
      <w:r w:rsidR="00F67C47" w:rsidRPr="00E464A2">
        <w:rPr>
          <w:rFonts w:asciiTheme="majorHAnsi" w:hAnsiTheme="majorHAnsi" w:cstheme="majorHAnsi"/>
        </w:rPr>
        <w:t xml:space="preserve"> using data from 2018. </w:t>
      </w:r>
    </w:p>
    <w:p w14:paraId="0C961AF0" w14:textId="77777777" w:rsidR="00E464A2" w:rsidRDefault="00E464A2" w:rsidP="00E464A2">
      <w:pPr>
        <w:spacing w:after="0" w:line="240" w:lineRule="auto"/>
        <w:rPr>
          <w:rFonts w:asciiTheme="majorHAnsi" w:hAnsiTheme="majorHAnsi" w:cstheme="majorHAnsi"/>
        </w:rPr>
      </w:pPr>
    </w:p>
    <w:p w14:paraId="47841015" w14:textId="24B9F26E" w:rsidR="005367DC" w:rsidRPr="00E464A2" w:rsidRDefault="00397952"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Empirical: </w:t>
      </w:r>
      <w:r w:rsidR="005367DC" w:rsidRPr="00E464A2">
        <w:rPr>
          <w:rFonts w:asciiTheme="majorHAnsi" w:hAnsiTheme="majorHAnsi" w:cstheme="majorHAnsi"/>
          <w:u w:val="single"/>
        </w:rPr>
        <w:t>ARIMA</w:t>
      </w:r>
    </w:p>
    <w:p w14:paraId="3069CD73" w14:textId="77777777" w:rsidR="00EB2201" w:rsidRPr="00E464A2" w:rsidRDefault="007B341F" w:rsidP="00E464A2">
      <w:pPr>
        <w:spacing w:after="0" w:line="240" w:lineRule="auto"/>
        <w:rPr>
          <w:rFonts w:asciiTheme="majorHAnsi" w:hAnsiTheme="majorHAnsi" w:cstheme="majorHAnsi"/>
        </w:rPr>
      </w:pPr>
      <w:r w:rsidRPr="00E464A2">
        <w:rPr>
          <w:rFonts w:asciiTheme="majorHAnsi" w:hAnsiTheme="majorHAnsi" w:cstheme="majorHAnsi"/>
        </w:rPr>
        <w:t>We chose a</w:t>
      </w:r>
      <w:r w:rsidR="00397952" w:rsidRPr="00E464A2">
        <w:rPr>
          <w:rFonts w:asciiTheme="majorHAnsi" w:hAnsiTheme="majorHAnsi" w:cstheme="majorHAnsi"/>
        </w:rPr>
        <w:t xml:space="preserve">n autoregressive integrated moving average (ARIMA) generalized linear model for our empirical approach to forecasting chlorophyll-a in FCR. </w:t>
      </w:r>
      <w:r w:rsidR="007D0E56" w:rsidRPr="00E464A2">
        <w:rPr>
          <w:rFonts w:asciiTheme="majorHAnsi" w:hAnsiTheme="majorHAnsi" w:cstheme="majorHAnsi"/>
        </w:rPr>
        <w:t xml:space="preserve">The appropriate time step to be included as the autoregressive term </w:t>
      </w:r>
      <w:r w:rsidRPr="00E464A2">
        <w:rPr>
          <w:rFonts w:asciiTheme="majorHAnsi" w:hAnsiTheme="majorHAnsi" w:cstheme="majorHAnsi"/>
        </w:rPr>
        <w:t xml:space="preserve">in ARIMA </w:t>
      </w:r>
      <w:r w:rsidR="007D0E56" w:rsidRPr="00E464A2">
        <w:rPr>
          <w:rFonts w:asciiTheme="majorHAnsi" w:hAnsiTheme="majorHAnsi" w:cstheme="majorHAnsi"/>
        </w:rPr>
        <w:t xml:space="preserve">will be determined by selecting the </w:t>
      </w:r>
      <w:r w:rsidRPr="00E464A2">
        <w:rPr>
          <w:rFonts w:asciiTheme="majorHAnsi" w:hAnsiTheme="majorHAnsi" w:cstheme="majorHAnsi"/>
        </w:rPr>
        <w:t>previous measurement of chlorophyll-a</w:t>
      </w:r>
      <w:r w:rsidR="007D0E56" w:rsidRPr="00E464A2">
        <w:rPr>
          <w:rFonts w:asciiTheme="majorHAnsi" w:hAnsiTheme="majorHAnsi" w:cstheme="majorHAnsi"/>
        </w:rPr>
        <w:t xml:space="preserve"> with the highest Pearson’s r correlation coefficient</w:t>
      </w:r>
      <w:r w:rsidRPr="00E464A2">
        <w:rPr>
          <w:rFonts w:asciiTheme="majorHAnsi" w:hAnsiTheme="majorHAnsi" w:cstheme="majorHAnsi"/>
        </w:rPr>
        <w:t xml:space="preserve"> with the current measurement of chlorophyll-a</w:t>
      </w:r>
      <w:r w:rsidR="007D0E56" w:rsidRPr="00E464A2">
        <w:rPr>
          <w:rFonts w:asciiTheme="majorHAnsi" w:hAnsiTheme="majorHAnsi" w:cstheme="majorHAnsi"/>
        </w:rPr>
        <w:t xml:space="preserve">. </w:t>
      </w:r>
      <w:r w:rsidR="00397952" w:rsidRPr="00E464A2">
        <w:rPr>
          <w:rFonts w:asciiTheme="majorHAnsi" w:hAnsiTheme="majorHAnsi" w:cstheme="majorHAnsi"/>
        </w:rPr>
        <w:t xml:space="preserve">From </w:t>
      </w:r>
      <w:r w:rsidR="007D0E56" w:rsidRPr="00E464A2">
        <w:rPr>
          <w:rFonts w:asciiTheme="majorHAnsi" w:hAnsiTheme="majorHAnsi" w:cstheme="majorHAnsi"/>
        </w:rPr>
        <w:t>a</w:t>
      </w:r>
      <w:r w:rsidR="00397952" w:rsidRPr="00E464A2">
        <w:rPr>
          <w:rFonts w:asciiTheme="majorHAnsi" w:hAnsiTheme="majorHAnsi" w:cstheme="majorHAnsi"/>
        </w:rPr>
        <w:t xml:space="preserve"> pool of 53 meteorological, physical, chemical, and biological driver variables</w:t>
      </w:r>
      <w:r w:rsidR="007D0E56" w:rsidRPr="00E464A2">
        <w:rPr>
          <w:rFonts w:asciiTheme="majorHAnsi" w:hAnsiTheme="majorHAnsi" w:cstheme="majorHAnsi"/>
        </w:rPr>
        <w:t xml:space="preserve">, we will select only driver variables which are predictable in nature (e.g., meteorological and inflow variables). From within the pool of predictable driver variables, we will further select only variables which are not correlated with each other </w:t>
      </w:r>
      <w:proofErr w:type="gramStart"/>
      <w:r w:rsidR="007D0E56" w:rsidRPr="00E464A2">
        <w:rPr>
          <w:rFonts w:asciiTheme="majorHAnsi" w:hAnsiTheme="majorHAnsi" w:cstheme="majorHAnsi"/>
        </w:rPr>
        <w:t>through the use of</w:t>
      </w:r>
      <w:proofErr w:type="gramEnd"/>
      <w:r w:rsidR="007D0E56" w:rsidRPr="00E464A2">
        <w:rPr>
          <w:rFonts w:asciiTheme="majorHAnsi" w:hAnsiTheme="majorHAnsi" w:cstheme="majorHAnsi"/>
        </w:rPr>
        <w:t xml:space="preserve"> a Pearson’s correlation analysis. Using these variables, we will develop all possible ARIMA </w:t>
      </w:r>
      <w:r w:rsidR="00E741C4" w:rsidRPr="00E464A2">
        <w:rPr>
          <w:rFonts w:asciiTheme="majorHAnsi" w:hAnsiTheme="majorHAnsi" w:cstheme="majorHAnsi"/>
        </w:rPr>
        <w:t>combinations with the selected driver variables</w:t>
      </w:r>
      <w:r w:rsidR="007D0E56" w:rsidRPr="00E464A2">
        <w:rPr>
          <w:rFonts w:asciiTheme="majorHAnsi" w:hAnsiTheme="majorHAnsi" w:cstheme="majorHAnsi"/>
        </w:rPr>
        <w:t xml:space="preserve">, and the best model will be </w:t>
      </w:r>
      <w:r w:rsidR="00E741C4" w:rsidRPr="00E464A2">
        <w:rPr>
          <w:rFonts w:asciiTheme="majorHAnsi" w:hAnsiTheme="majorHAnsi" w:cstheme="majorHAnsi"/>
        </w:rPr>
        <w:t>determined</w:t>
      </w:r>
      <w:r w:rsidR="007D0E56" w:rsidRPr="00E464A2">
        <w:rPr>
          <w:rFonts w:asciiTheme="majorHAnsi" w:hAnsiTheme="majorHAnsi" w:cstheme="majorHAnsi"/>
        </w:rPr>
        <w:t xml:space="preserve"> by </w:t>
      </w:r>
      <w:proofErr w:type="spellStart"/>
      <w:r w:rsidR="007D0E56" w:rsidRPr="00E464A2">
        <w:rPr>
          <w:rFonts w:asciiTheme="majorHAnsi" w:hAnsiTheme="majorHAnsi" w:cstheme="majorHAnsi"/>
        </w:rPr>
        <w:t>AICc</w:t>
      </w:r>
      <w:proofErr w:type="spellEnd"/>
      <w:r w:rsidR="007D0E56" w:rsidRPr="00E464A2">
        <w:rPr>
          <w:rFonts w:asciiTheme="majorHAnsi" w:hAnsiTheme="majorHAnsi" w:cstheme="majorHAnsi"/>
        </w:rPr>
        <w:t xml:space="preserve"> (Akaike’s Information Criterion) and parsimony.</w:t>
      </w:r>
    </w:p>
    <w:p w14:paraId="3FF42D6D" w14:textId="77777777" w:rsidR="00E464A2" w:rsidRDefault="00E464A2" w:rsidP="00E464A2">
      <w:pPr>
        <w:spacing w:after="0" w:line="240" w:lineRule="auto"/>
        <w:rPr>
          <w:rFonts w:asciiTheme="majorHAnsi" w:hAnsiTheme="majorHAnsi" w:cstheme="majorHAnsi"/>
        </w:rPr>
      </w:pPr>
    </w:p>
    <w:p w14:paraId="65FB7AC2" w14:textId="7341D779" w:rsidR="005367DC" w:rsidRPr="00E464A2" w:rsidRDefault="007D0E56" w:rsidP="00E464A2">
      <w:pPr>
        <w:spacing w:after="0" w:line="240" w:lineRule="auto"/>
        <w:rPr>
          <w:rFonts w:asciiTheme="majorHAnsi" w:hAnsiTheme="majorHAnsi" w:cstheme="majorHAnsi"/>
          <w:u w:val="single"/>
        </w:rPr>
      </w:pPr>
      <w:r w:rsidRPr="00E464A2">
        <w:rPr>
          <w:rFonts w:asciiTheme="majorHAnsi" w:hAnsiTheme="majorHAnsi" w:cstheme="majorHAnsi"/>
          <w:u w:val="single"/>
        </w:rPr>
        <w:t xml:space="preserve">Process-based: </w:t>
      </w:r>
      <w:r w:rsidR="005367DC" w:rsidRPr="00E464A2">
        <w:rPr>
          <w:rFonts w:asciiTheme="majorHAnsi" w:hAnsiTheme="majorHAnsi" w:cstheme="majorHAnsi"/>
          <w:u w:val="single"/>
        </w:rPr>
        <w:t>GLM</w:t>
      </w:r>
    </w:p>
    <w:p w14:paraId="7BA15757" w14:textId="49F49EFE" w:rsidR="00D769B4" w:rsidRDefault="00D769B4" w:rsidP="00E464A2">
      <w:pPr>
        <w:spacing w:after="0" w:line="240" w:lineRule="auto"/>
        <w:rPr>
          <w:rFonts w:asciiTheme="majorHAnsi" w:hAnsiTheme="majorHAnsi" w:cstheme="majorHAnsi"/>
        </w:rPr>
      </w:pPr>
      <w:r w:rsidRPr="00E464A2">
        <w:rPr>
          <w:rFonts w:asciiTheme="majorHAnsi" w:hAnsiTheme="majorHAnsi" w:cstheme="majorHAnsi"/>
        </w:rPr>
        <w:t xml:space="preserve">We used the General Lake Model, Aquatic </w:t>
      </w:r>
      <w:proofErr w:type="spellStart"/>
      <w:r w:rsidRPr="00E464A2">
        <w:rPr>
          <w:rFonts w:asciiTheme="majorHAnsi" w:hAnsiTheme="majorHAnsi" w:cstheme="majorHAnsi"/>
        </w:rPr>
        <w:t>Ecodynamics</w:t>
      </w:r>
      <w:proofErr w:type="spellEnd"/>
      <w:r w:rsidRPr="00E464A2">
        <w:rPr>
          <w:rFonts w:asciiTheme="majorHAnsi" w:hAnsiTheme="majorHAnsi" w:cstheme="majorHAnsi"/>
        </w:rPr>
        <w:t xml:space="preserve"> (GLM-AED) as our process-based model. GLM-AED is a one-dimensional hydrodynamic model, </w:t>
      </w:r>
      <w:commentRangeStart w:id="2"/>
      <w:r w:rsidRPr="00E464A2">
        <w:rPr>
          <w:rFonts w:asciiTheme="majorHAnsi" w:hAnsiTheme="majorHAnsi" w:cstheme="majorHAnsi"/>
        </w:rPr>
        <w:t>etc.</w:t>
      </w:r>
      <w:commentRangeEnd w:id="2"/>
      <w:r w:rsidR="0095464C">
        <w:rPr>
          <w:rStyle w:val="CommentReference"/>
        </w:rPr>
        <w:commentReference w:id="2"/>
      </w:r>
    </w:p>
    <w:p w14:paraId="48846265" w14:textId="27FCE5A5" w:rsidR="00E464A2" w:rsidRDefault="00E464A2" w:rsidP="00E464A2">
      <w:pPr>
        <w:spacing w:after="0" w:line="240" w:lineRule="auto"/>
        <w:rPr>
          <w:rFonts w:asciiTheme="majorHAnsi" w:hAnsiTheme="majorHAnsi" w:cstheme="majorHAnsi"/>
        </w:rPr>
      </w:pPr>
    </w:p>
    <w:p w14:paraId="2C02A769" w14:textId="22993253" w:rsidR="00E464A2" w:rsidRPr="00E464A2" w:rsidRDefault="00E464A2" w:rsidP="00E464A2">
      <w:pPr>
        <w:spacing w:after="0" w:line="240" w:lineRule="auto"/>
        <w:rPr>
          <w:rFonts w:asciiTheme="majorHAnsi" w:hAnsiTheme="majorHAnsi" w:cstheme="majorHAnsi"/>
          <w:u w:val="single"/>
        </w:rPr>
      </w:pPr>
      <w:r w:rsidRPr="00E464A2">
        <w:rPr>
          <w:rFonts w:asciiTheme="majorHAnsi" w:hAnsiTheme="majorHAnsi" w:cstheme="majorHAnsi"/>
          <w:u w:val="single"/>
        </w:rPr>
        <w:t>Model Assessment</w:t>
      </w:r>
    </w:p>
    <w:p w14:paraId="427F7615" w14:textId="3FA5FA8F" w:rsidR="00E464A2" w:rsidRDefault="00E464A2" w:rsidP="00E464A2">
      <w:pPr>
        <w:rPr>
          <w:rFonts w:asciiTheme="majorHAnsi" w:hAnsiTheme="majorHAnsi" w:cstheme="majorHAnsi"/>
        </w:rPr>
      </w:pPr>
      <w:r w:rsidRPr="00E464A2">
        <w:rPr>
          <w:rFonts w:asciiTheme="majorHAnsi" w:hAnsiTheme="majorHAnsi" w:cstheme="majorHAnsi"/>
        </w:rPr>
        <w:t xml:space="preserve">Model performance will be assessed using </w:t>
      </w:r>
      <w:proofErr w:type="gramStart"/>
      <w:r>
        <w:rPr>
          <w:rFonts w:asciiTheme="majorHAnsi" w:hAnsiTheme="majorHAnsi" w:cstheme="majorHAnsi"/>
        </w:rPr>
        <w:t>a number of</w:t>
      </w:r>
      <w:proofErr w:type="gramEnd"/>
      <w:r>
        <w:rPr>
          <w:rFonts w:asciiTheme="majorHAnsi" w:hAnsiTheme="majorHAnsi" w:cstheme="majorHAnsi"/>
        </w:rPr>
        <w:t xml:space="preserve"> metrics currently being used in the ecological forecasting field. Because there is no one metric which can </w:t>
      </w:r>
      <w:r w:rsidR="004E371C">
        <w:rPr>
          <w:rFonts w:asciiTheme="majorHAnsi" w:hAnsiTheme="majorHAnsi" w:cstheme="majorHAnsi"/>
        </w:rPr>
        <w:t xml:space="preserve">determine that one model performs better than another, a holistic approach examining several model performance metrics will be used instead. </w:t>
      </w:r>
    </w:p>
    <w:p w14:paraId="7338820A" w14:textId="47D5A777" w:rsidR="00E464A2" w:rsidRPr="00E464A2" w:rsidRDefault="00E464A2" w:rsidP="00E464A2">
      <w:pPr>
        <w:rPr>
          <w:rFonts w:asciiTheme="majorHAnsi" w:hAnsiTheme="majorHAnsi" w:cstheme="majorHAnsi"/>
        </w:rPr>
      </w:pPr>
      <w:r>
        <w:rPr>
          <w:rFonts w:asciiTheme="majorHAnsi" w:hAnsiTheme="majorHAnsi" w:cstheme="majorHAnsi"/>
        </w:rPr>
        <w:t>C</w:t>
      </w:r>
      <w:r w:rsidRPr="00E464A2">
        <w:rPr>
          <w:rFonts w:asciiTheme="majorHAnsi" w:hAnsiTheme="majorHAnsi" w:cstheme="majorHAnsi"/>
        </w:rPr>
        <w:t>omparison</w:t>
      </w:r>
      <w:r>
        <w:rPr>
          <w:rFonts w:asciiTheme="majorHAnsi" w:hAnsiTheme="majorHAnsi" w:cstheme="majorHAnsi"/>
        </w:rPr>
        <w:t>s</w:t>
      </w:r>
      <w:r w:rsidRPr="00E464A2">
        <w:rPr>
          <w:rFonts w:asciiTheme="majorHAnsi" w:hAnsiTheme="majorHAnsi" w:cstheme="majorHAnsi"/>
        </w:rPr>
        <w:t xml:space="preserve"> of observed and model descriptors</w:t>
      </w:r>
      <w:r>
        <w:rPr>
          <w:rFonts w:asciiTheme="majorHAnsi" w:hAnsiTheme="majorHAnsi" w:cstheme="majorHAnsi"/>
        </w:rPr>
        <w:t xml:space="preserve"> will include the mean, standard deviation, quantiles</w:t>
      </w:r>
      <w:r w:rsidRPr="00E464A2">
        <w:rPr>
          <w:rFonts w:asciiTheme="majorHAnsi" w:hAnsiTheme="majorHAnsi" w:cstheme="majorHAnsi"/>
        </w:rPr>
        <w:t xml:space="preserve"> (</w:t>
      </w:r>
      <w:proofErr w:type="spellStart"/>
      <w:r w:rsidRPr="00E464A2">
        <w:rPr>
          <w:rFonts w:asciiTheme="majorHAnsi" w:hAnsiTheme="majorHAnsi" w:cstheme="majorHAnsi"/>
        </w:rPr>
        <w:t>Dietze</w:t>
      </w:r>
      <w:proofErr w:type="spellEnd"/>
      <w:r w:rsidRPr="00E464A2">
        <w:rPr>
          <w:rFonts w:asciiTheme="majorHAnsi" w:hAnsiTheme="majorHAnsi" w:cstheme="majorHAnsi"/>
        </w:rPr>
        <w:t xml:space="preserve"> book)</w:t>
      </w:r>
      <w:r>
        <w:rPr>
          <w:rFonts w:asciiTheme="majorHAnsi" w:hAnsiTheme="majorHAnsi" w:cstheme="majorHAnsi"/>
        </w:rPr>
        <w:t>, and kurtosis (Bennett et al 2013)</w:t>
      </w:r>
      <w:r w:rsidRPr="00E464A2">
        <w:rPr>
          <w:rFonts w:asciiTheme="majorHAnsi" w:hAnsiTheme="majorHAnsi" w:cstheme="majorHAnsi"/>
        </w:rPr>
        <w:t xml:space="preserve">. </w:t>
      </w:r>
      <w:r w:rsidRPr="00E464A2">
        <w:rPr>
          <w:rFonts w:asciiTheme="majorHAnsi" w:hAnsiTheme="majorHAnsi" w:cstheme="majorHAnsi"/>
        </w:rPr>
        <w:t xml:space="preserve">Forecasts are said to be in consensus if they are insignificantly different from the sample mean (Gregory et </w:t>
      </w:r>
      <w:proofErr w:type="gramStart"/>
      <w:r w:rsidRPr="00E464A2">
        <w:rPr>
          <w:rFonts w:asciiTheme="majorHAnsi" w:hAnsiTheme="majorHAnsi" w:cstheme="majorHAnsi"/>
        </w:rPr>
        <w:t>al .</w:t>
      </w:r>
      <w:proofErr w:type="gramEnd"/>
      <w:r w:rsidRPr="00E464A2">
        <w:rPr>
          <w:rFonts w:asciiTheme="majorHAnsi" w:hAnsiTheme="majorHAnsi" w:cstheme="majorHAnsi"/>
        </w:rPr>
        <w:t>, 2001)</w:t>
      </w:r>
    </w:p>
    <w:p w14:paraId="38DC64AC" w14:textId="3F900FE7" w:rsidR="00E464A2" w:rsidRPr="00E464A2" w:rsidRDefault="00E464A2" w:rsidP="00E464A2">
      <w:pPr>
        <w:rPr>
          <w:rFonts w:asciiTheme="majorHAnsi" w:hAnsiTheme="majorHAnsi" w:cstheme="majorHAnsi"/>
        </w:rPr>
      </w:pPr>
      <w:r>
        <w:rPr>
          <w:rFonts w:asciiTheme="majorHAnsi" w:hAnsiTheme="majorHAnsi" w:cstheme="majorHAnsi"/>
        </w:rPr>
        <w:t>Model outputs will also be compared with each other using the following performance metrics:</w:t>
      </w:r>
    </w:p>
    <w:p w14:paraId="24B5C873"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RMSE</w:t>
      </w:r>
    </w:p>
    <w:p w14:paraId="6CD7A69B"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R2 (variation from the 1:1 line)</w:t>
      </w:r>
    </w:p>
    <w:p w14:paraId="281F81C5" w14:textId="77777777" w:rsidR="00E464A2" w:rsidRPr="00191BF5" w:rsidRDefault="00E464A2" w:rsidP="004E371C">
      <w:pPr>
        <w:pStyle w:val="ListParagraph"/>
        <w:numPr>
          <w:ilvl w:val="0"/>
          <w:numId w:val="8"/>
        </w:numPr>
        <w:rPr>
          <w:rFonts w:asciiTheme="majorHAnsi" w:hAnsiTheme="majorHAnsi" w:cstheme="majorHAnsi"/>
        </w:rPr>
      </w:pPr>
      <w:r w:rsidRPr="00191BF5">
        <w:rPr>
          <w:rFonts w:asciiTheme="majorHAnsi" w:hAnsiTheme="majorHAnsi" w:cstheme="majorHAnsi"/>
        </w:rPr>
        <w:t xml:space="preserve">Bias </w:t>
      </w:r>
    </w:p>
    <w:p w14:paraId="5BC226F9" w14:textId="77777777" w:rsidR="00E464A2" w:rsidRPr="00191BF5" w:rsidRDefault="00E464A2" w:rsidP="004E371C">
      <w:pPr>
        <w:pStyle w:val="ListParagraph"/>
        <w:numPr>
          <w:ilvl w:val="1"/>
          <w:numId w:val="8"/>
        </w:numPr>
        <w:rPr>
          <w:rFonts w:asciiTheme="majorHAnsi" w:hAnsiTheme="majorHAnsi" w:cstheme="majorHAnsi"/>
        </w:rPr>
      </w:pPr>
      <w:proofErr w:type="gramStart"/>
      <w:r w:rsidRPr="00191BF5">
        <w:rPr>
          <w:rFonts w:asciiTheme="majorHAnsi" w:hAnsiTheme="majorHAnsi" w:cstheme="majorHAnsi"/>
        </w:rPr>
        <w:t>SD(</w:t>
      </w:r>
      <w:proofErr w:type="gramEnd"/>
      <w:r w:rsidRPr="00191BF5">
        <w:rPr>
          <w:rFonts w:asciiTheme="majorHAnsi" w:hAnsiTheme="majorHAnsi" w:cstheme="majorHAnsi"/>
        </w:rPr>
        <w:t>model)/SD(data)</w:t>
      </w:r>
    </w:p>
    <w:p w14:paraId="425E1871" w14:textId="4940000B" w:rsidR="00E464A2" w:rsidRPr="00191BF5" w:rsidRDefault="00E464A2" w:rsidP="004E371C">
      <w:pPr>
        <w:pStyle w:val="ListParagraph"/>
        <w:numPr>
          <w:ilvl w:val="1"/>
          <w:numId w:val="8"/>
        </w:numPr>
        <w:rPr>
          <w:rFonts w:asciiTheme="majorHAnsi" w:hAnsiTheme="majorHAnsi" w:cstheme="majorHAnsi"/>
        </w:rPr>
      </w:pPr>
      <w:r w:rsidRPr="00191BF5">
        <w:rPr>
          <w:rFonts w:asciiTheme="majorHAnsi" w:hAnsiTheme="majorHAnsi" w:cstheme="majorHAnsi"/>
        </w:rPr>
        <w:t xml:space="preserve">Base R bias calc </w:t>
      </w:r>
      <w:proofErr w:type="gramStart"/>
      <w:r w:rsidRPr="00191BF5">
        <w:rPr>
          <w:rFonts w:asciiTheme="majorHAnsi" w:hAnsiTheme="majorHAnsi" w:cstheme="majorHAnsi"/>
          <w:color w:val="222222"/>
          <w:shd w:val="clear" w:color="auto" w:fill="FFFFFF"/>
        </w:rPr>
        <w:t>mean(</w:t>
      </w:r>
      <w:proofErr w:type="gramEnd"/>
      <w:r w:rsidRPr="00191BF5">
        <w:rPr>
          <w:rFonts w:asciiTheme="majorHAnsi" w:hAnsiTheme="majorHAnsi" w:cstheme="majorHAnsi"/>
          <w:color w:val="222222"/>
          <w:shd w:val="clear" w:color="auto" w:fill="FFFFFF"/>
        </w:rPr>
        <w:t xml:space="preserve">observed </w:t>
      </w:r>
      <w:r w:rsidR="004E371C">
        <w:rPr>
          <w:rFonts w:asciiTheme="majorHAnsi" w:hAnsiTheme="majorHAnsi" w:cstheme="majorHAnsi"/>
          <w:color w:val="222222"/>
          <w:shd w:val="clear" w:color="auto" w:fill="FFFFFF"/>
        </w:rPr>
        <w:t>–</w:t>
      </w:r>
      <w:r w:rsidRPr="00191BF5">
        <w:rPr>
          <w:rFonts w:asciiTheme="majorHAnsi" w:hAnsiTheme="majorHAnsi" w:cstheme="majorHAnsi"/>
          <w:color w:val="222222"/>
          <w:shd w:val="clear" w:color="auto" w:fill="FFFFFF"/>
        </w:rPr>
        <w:t xml:space="preserve"> model)</w:t>
      </w:r>
    </w:p>
    <w:p w14:paraId="2EDC75CD"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Slope of the regression btw model and OBS</w:t>
      </w:r>
    </w:p>
    <w:p w14:paraId="5AA00FA4" w14:textId="5F68DF0B"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Pearson’s correlation b</w:t>
      </w:r>
      <w:r>
        <w:rPr>
          <w:rFonts w:asciiTheme="majorHAnsi" w:hAnsiTheme="majorHAnsi" w:cstheme="majorHAnsi"/>
        </w:rPr>
        <w:t>etween the</w:t>
      </w:r>
      <w:r>
        <w:rPr>
          <w:rFonts w:asciiTheme="majorHAnsi" w:hAnsiTheme="majorHAnsi" w:cstheme="majorHAnsi"/>
        </w:rPr>
        <w:t xml:space="preserve"> model and OBS</w:t>
      </w:r>
    </w:p>
    <w:p w14:paraId="08FB820C" w14:textId="34374583" w:rsidR="00E464A2" w:rsidRP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lastRenderedPageBreak/>
        <w:t>Area under the curve (</w:t>
      </w:r>
      <w:r w:rsidRPr="00191BF5">
        <w:rPr>
          <w:rFonts w:asciiTheme="majorHAnsi" w:hAnsiTheme="majorHAnsi" w:cstheme="majorHAnsi"/>
        </w:rPr>
        <w:t xml:space="preserve">Araujo, </w:t>
      </w:r>
      <w:proofErr w:type="spellStart"/>
      <w:r w:rsidRPr="00191BF5">
        <w:rPr>
          <w:rFonts w:asciiTheme="majorHAnsi" w:hAnsiTheme="majorHAnsi" w:cstheme="majorHAnsi"/>
        </w:rPr>
        <w:t>Thuiller</w:t>
      </w:r>
      <w:proofErr w:type="spellEnd"/>
      <w:r w:rsidRPr="00191BF5">
        <w:rPr>
          <w:rFonts w:asciiTheme="majorHAnsi" w:hAnsiTheme="majorHAnsi" w:cstheme="majorHAnsi"/>
        </w:rPr>
        <w:t>, and Pearson 2006</w:t>
      </w:r>
      <w:r w:rsidR="004E371C">
        <w:rPr>
          <w:rFonts w:asciiTheme="majorHAnsi" w:hAnsiTheme="majorHAnsi" w:cstheme="majorHAnsi"/>
        </w:rPr>
        <w:t>)</w:t>
      </w:r>
    </w:p>
    <w:p w14:paraId="6FD1FC20" w14:textId="47727BCB" w:rsidR="00E464A2" w:rsidRDefault="00E464A2" w:rsidP="00E464A2">
      <w:pPr>
        <w:rPr>
          <w:rFonts w:asciiTheme="majorHAnsi" w:hAnsiTheme="majorHAnsi" w:cstheme="majorHAnsi"/>
        </w:rPr>
      </w:pPr>
      <w:r>
        <w:rPr>
          <w:rFonts w:asciiTheme="majorHAnsi" w:hAnsiTheme="majorHAnsi" w:cstheme="majorHAnsi"/>
        </w:rPr>
        <w:t>Lastly, model performance will be examine</w:t>
      </w:r>
      <w:r w:rsidR="004E371C">
        <w:rPr>
          <w:rFonts w:asciiTheme="majorHAnsi" w:hAnsiTheme="majorHAnsi" w:cstheme="majorHAnsi"/>
        </w:rPr>
        <w:t>d</w:t>
      </w:r>
      <w:r>
        <w:rPr>
          <w:rFonts w:asciiTheme="majorHAnsi" w:hAnsiTheme="majorHAnsi" w:cstheme="majorHAnsi"/>
        </w:rPr>
        <w:t xml:space="preserve"> through visual assessment of the following figures</w:t>
      </w:r>
      <w:r w:rsidR="004E371C">
        <w:rPr>
          <w:rFonts w:asciiTheme="majorHAnsi" w:hAnsiTheme="majorHAnsi" w:cstheme="majorHAnsi"/>
        </w:rPr>
        <w:t xml:space="preserve"> (</w:t>
      </w:r>
      <w:proofErr w:type="spellStart"/>
      <w:r w:rsidR="004E371C">
        <w:rPr>
          <w:rFonts w:asciiTheme="majorHAnsi" w:hAnsiTheme="majorHAnsi" w:cstheme="majorHAnsi"/>
        </w:rPr>
        <w:t>Dietze</w:t>
      </w:r>
      <w:proofErr w:type="spellEnd"/>
      <w:r w:rsidR="004E371C">
        <w:rPr>
          <w:rFonts w:asciiTheme="majorHAnsi" w:hAnsiTheme="majorHAnsi" w:cstheme="majorHAnsi"/>
        </w:rPr>
        <w:t xml:space="preserve"> book)</w:t>
      </w:r>
      <w:r>
        <w:rPr>
          <w:rFonts w:asciiTheme="majorHAnsi" w:hAnsiTheme="majorHAnsi" w:cstheme="majorHAnsi"/>
        </w:rPr>
        <w:t>:</w:t>
      </w:r>
    </w:p>
    <w:p w14:paraId="520009EE" w14:textId="5808F63A" w:rsidR="00E464A2" w:rsidRPr="004E371C" w:rsidRDefault="004E371C" w:rsidP="004E371C">
      <w:pPr>
        <w:pStyle w:val="ListParagraph"/>
        <w:numPr>
          <w:ilvl w:val="0"/>
          <w:numId w:val="20"/>
        </w:numPr>
        <w:rPr>
          <w:rFonts w:asciiTheme="majorHAnsi" w:hAnsiTheme="majorHAnsi" w:cstheme="majorHAnsi"/>
        </w:rPr>
      </w:pPr>
      <w:r>
        <w:rPr>
          <w:rFonts w:asciiTheme="majorHAnsi" w:hAnsiTheme="majorHAnsi" w:cstheme="majorHAnsi"/>
        </w:rPr>
        <w:t>Observed and model predictions over time</w:t>
      </w:r>
    </w:p>
    <w:p w14:paraId="6689C7A6" w14:textId="77777777" w:rsidR="00E464A2" w:rsidRDefault="00E464A2" w:rsidP="004E371C">
      <w:pPr>
        <w:pStyle w:val="ListParagraph"/>
        <w:numPr>
          <w:ilvl w:val="0"/>
          <w:numId w:val="8"/>
        </w:numPr>
        <w:rPr>
          <w:rFonts w:asciiTheme="majorHAnsi" w:hAnsiTheme="majorHAnsi" w:cstheme="majorHAnsi"/>
        </w:rPr>
      </w:pPr>
      <w:r>
        <w:rPr>
          <w:rFonts w:asciiTheme="majorHAnsi" w:hAnsiTheme="majorHAnsi" w:cstheme="majorHAnsi"/>
        </w:rPr>
        <w:t>Predicted vs. observed + 95% confidence interval</w:t>
      </w:r>
    </w:p>
    <w:p w14:paraId="6A2C59D7" w14:textId="77777777" w:rsidR="00E464A2" w:rsidRDefault="00E464A2" w:rsidP="00E464A2">
      <w:pPr>
        <w:spacing w:after="0" w:line="240" w:lineRule="auto"/>
        <w:rPr>
          <w:rFonts w:asciiTheme="majorHAnsi" w:hAnsiTheme="majorHAnsi" w:cstheme="majorHAnsi"/>
        </w:rPr>
      </w:pPr>
    </w:p>
    <w:p w14:paraId="65BD6EF3" w14:textId="77777777" w:rsidR="005367DC" w:rsidRPr="004E371C" w:rsidRDefault="005367DC" w:rsidP="004E371C">
      <w:pPr>
        <w:spacing w:after="0" w:line="240" w:lineRule="auto"/>
        <w:rPr>
          <w:rFonts w:asciiTheme="majorHAnsi" w:hAnsiTheme="majorHAnsi" w:cstheme="majorHAnsi"/>
          <w:i/>
        </w:rPr>
      </w:pPr>
      <w:r w:rsidRPr="004E371C">
        <w:rPr>
          <w:rFonts w:asciiTheme="majorHAnsi" w:hAnsiTheme="majorHAnsi" w:cstheme="majorHAnsi"/>
          <w:i/>
        </w:rPr>
        <w:t>Forecasting Framework: FLARE</w:t>
      </w:r>
      <w:r w:rsidR="002B10E7" w:rsidRPr="004E371C">
        <w:rPr>
          <w:rFonts w:asciiTheme="majorHAnsi" w:hAnsiTheme="majorHAnsi" w:cstheme="majorHAnsi"/>
          <w:i/>
        </w:rPr>
        <w:t xml:space="preserve"> (Question 2)</w:t>
      </w:r>
    </w:p>
    <w:p w14:paraId="2F565EFC" w14:textId="77777777" w:rsidR="00ED4E84" w:rsidRPr="004E371C" w:rsidRDefault="007D0E56" w:rsidP="004E371C">
      <w:pPr>
        <w:spacing w:after="0" w:line="240" w:lineRule="auto"/>
        <w:rPr>
          <w:rFonts w:asciiTheme="majorHAnsi" w:hAnsiTheme="majorHAnsi" w:cstheme="majorHAnsi"/>
          <w:b/>
        </w:rPr>
      </w:pPr>
      <w:r w:rsidRPr="004E371C">
        <w:rPr>
          <w:rFonts w:asciiTheme="majorHAnsi" w:hAnsiTheme="majorHAnsi" w:cstheme="majorHAnsi"/>
        </w:rPr>
        <w:t>Both models will be integrated i</w:t>
      </w:r>
      <w:r w:rsidR="002B10E7" w:rsidRPr="004E371C">
        <w:rPr>
          <w:rFonts w:asciiTheme="majorHAnsi" w:hAnsiTheme="majorHAnsi" w:cstheme="majorHAnsi"/>
        </w:rPr>
        <w:t xml:space="preserve">nto an existing forecasting framework, </w:t>
      </w:r>
      <w:r w:rsidR="005367DC" w:rsidRPr="004E371C">
        <w:rPr>
          <w:rFonts w:asciiTheme="majorHAnsi" w:hAnsiTheme="majorHAnsi" w:cstheme="majorHAnsi"/>
        </w:rPr>
        <w:t>Forecasting Lake and Reservoir Ecosystems (FLARE)</w:t>
      </w:r>
      <w:r w:rsidR="002B10E7" w:rsidRPr="004E371C">
        <w:rPr>
          <w:rFonts w:asciiTheme="majorHAnsi" w:hAnsiTheme="majorHAnsi" w:cstheme="majorHAnsi"/>
        </w:rPr>
        <w:t xml:space="preserve">, to produce iterative near-term 16-day forecasts of chlorophyll-a. </w:t>
      </w:r>
      <w:r w:rsidR="00E741C4" w:rsidRPr="004E371C">
        <w:rPr>
          <w:rFonts w:asciiTheme="majorHAnsi" w:hAnsiTheme="majorHAnsi" w:cstheme="majorHAnsi"/>
        </w:rPr>
        <w:t>FLARE is designed to pull</w:t>
      </w:r>
      <w:r w:rsidR="00ED4E84" w:rsidRPr="004E371C">
        <w:rPr>
          <w:rFonts w:asciiTheme="majorHAnsi" w:hAnsiTheme="majorHAnsi" w:cstheme="majorHAnsi"/>
        </w:rPr>
        <w:t xml:space="preserve"> 2-week weather predictions from the National Oceanic and Atmospheric Administration (NOAA) to force both ARIMA and GLM-AED. Additionally, ARIMA’s autoregressive term will be forced using our established sensor-cloud network to provide yesterday’s chlorophyll-a concentration. Lastly, </w:t>
      </w:r>
      <w:r w:rsidR="0095464C" w:rsidRPr="004E371C">
        <w:rPr>
          <w:rFonts w:asciiTheme="majorHAnsi" w:hAnsiTheme="majorHAnsi" w:cstheme="majorHAnsi"/>
        </w:rPr>
        <w:t xml:space="preserve">inflow discharge data for </w:t>
      </w:r>
      <w:r w:rsidR="00ED4E84" w:rsidRPr="004E371C">
        <w:rPr>
          <w:rFonts w:asciiTheme="majorHAnsi" w:hAnsiTheme="majorHAnsi" w:cstheme="majorHAnsi"/>
        </w:rPr>
        <w:t xml:space="preserve">both models will be </w:t>
      </w:r>
      <w:r w:rsidR="00E741C4" w:rsidRPr="004E371C">
        <w:rPr>
          <w:rFonts w:asciiTheme="majorHAnsi" w:hAnsiTheme="majorHAnsi" w:cstheme="majorHAnsi"/>
        </w:rPr>
        <w:t>estimated</w:t>
      </w:r>
      <w:r w:rsidR="00ED4E84" w:rsidRPr="004E371C">
        <w:rPr>
          <w:rFonts w:asciiTheme="majorHAnsi" w:hAnsiTheme="majorHAnsi" w:cstheme="majorHAnsi"/>
        </w:rPr>
        <w:t xml:space="preserve"> using </w:t>
      </w:r>
      <w:r w:rsidR="0095464C" w:rsidRPr="004E371C">
        <w:rPr>
          <w:rFonts w:asciiTheme="majorHAnsi" w:hAnsiTheme="majorHAnsi" w:cstheme="majorHAnsi"/>
        </w:rPr>
        <w:t xml:space="preserve">an autoregressive linear model of discharge based on the previous day’s mean discharge at the major inflow to the reservoir.  </w:t>
      </w:r>
      <w:r w:rsidR="00ED4E84" w:rsidRPr="004E371C">
        <w:rPr>
          <w:rFonts w:asciiTheme="majorHAnsi" w:hAnsiTheme="majorHAnsi" w:cstheme="majorHAnsi"/>
        </w:rPr>
        <w:t xml:space="preserve">Driver uncertainty will be calculated for both ARIMA and GLM-AED forecasts </w:t>
      </w:r>
      <w:r w:rsidR="007B341F" w:rsidRPr="004E371C">
        <w:rPr>
          <w:rFonts w:asciiTheme="majorHAnsi" w:hAnsiTheme="majorHAnsi" w:cstheme="majorHAnsi"/>
        </w:rPr>
        <w:t>by prop</w:t>
      </w:r>
      <w:r w:rsidR="00E741C4" w:rsidRPr="004E371C">
        <w:rPr>
          <w:rFonts w:asciiTheme="majorHAnsi" w:hAnsiTheme="majorHAnsi" w:cstheme="majorHAnsi"/>
        </w:rPr>
        <w:t>a</w:t>
      </w:r>
      <w:r w:rsidR="007B341F" w:rsidRPr="004E371C">
        <w:rPr>
          <w:rFonts w:asciiTheme="majorHAnsi" w:hAnsiTheme="majorHAnsi" w:cstheme="majorHAnsi"/>
        </w:rPr>
        <w:t>gating</w:t>
      </w:r>
      <w:r w:rsidR="00ED4E84" w:rsidRPr="004E371C">
        <w:rPr>
          <w:rFonts w:asciiTheme="majorHAnsi" w:hAnsiTheme="majorHAnsi" w:cstheme="majorHAnsi"/>
        </w:rPr>
        <w:t xml:space="preserve"> the uncertainty associated with the NOAA weather forecasts. Parameter uncertainties for both ARIMA and GLM-AED will be calculated by sampling from a distribution of parameters within each model.</w:t>
      </w:r>
      <w:r w:rsidR="007B341F" w:rsidRPr="004E371C">
        <w:rPr>
          <w:rFonts w:asciiTheme="majorHAnsi" w:hAnsiTheme="majorHAnsi" w:cstheme="majorHAnsi"/>
        </w:rPr>
        <w:t xml:space="preserve"> </w:t>
      </w:r>
      <w:r w:rsidR="00ED4E84" w:rsidRPr="004E371C">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conditions.  </w:t>
      </w:r>
    </w:p>
    <w:p w14:paraId="03F26221" w14:textId="77777777" w:rsidR="004E371C" w:rsidRDefault="004E371C" w:rsidP="004E371C">
      <w:pPr>
        <w:spacing w:after="0" w:line="240" w:lineRule="auto"/>
        <w:rPr>
          <w:rFonts w:asciiTheme="majorHAnsi" w:hAnsiTheme="majorHAnsi" w:cstheme="majorHAnsi"/>
          <w:b/>
        </w:rPr>
      </w:pPr>
    </w:p>
    <w:p w14:paraId="1F86A2F2" w14:textId="0A3A91A7" w:rsidR="002B10E7" w:rsidRPr="004E371C" w:rsidRDefault="002B10E7" w:rsidP="004E371C">
      <w:pPr>
        <w:spacing w:after="0" w:line="240" w:lineRule="auto"/>
        <w:rPr>
          <w:rFonts w:asciiTheme="majorHAnsi" w:hAnsiTheme="majorHAnsi" w:cstheme="majorHAnsi"/>
          <w:i/>
        </w:rPr>
      </w:pPr>
      <w:r w:rsidRPr="004E371C">
        <w:rPr>
          <w:rFonts w:asciiTheme="majorHAnsi" w:hAnsiTheme="majorHAnsi" w:cstheme="majorHAnsi"/>
          <w:i/>
        </w:rPr>
        <w:t>Integrated Model Averaging</w:t>
      </w:r>
      <w:r w:rsidR="00F67C47" w:rsidRPr="004E371C">
        <w:rPr>
          <w:rFonts w:asciiTheme="majorHAnsi" w:hAnsiTheme="majorHAnsi" w:cstheme="majorHAnsi"/>
          <w:i/>
        </w:rPr>
        <w:t xml:space="preserve"> (Question 3) </w:t>
      </w:r>
    </w:p>
    <w:p w14:paraId="0B25D6A3" w14:textId="1F3A097D" w:rsidR="009C41E3" w:rsidRPr="004E371C" w:rsidRDefault="00E741C4" w:rsidP="004E371C">
      <w:pPr>
        <w:rPr>
          <w:rFonts w:asciiTheme="majorHAnsi" w:hAnsiTheme="majorHAnsi" w:cstheme="majorHAnsi"/>
        </w:rPr>
      </w:pPr>
      <w:r w:rsidRPr="004E371C">
        <w:rPr>
          <w:rFonts w:asciiTheme="majorHAnsi" w:hAnsiTheme="majorHAnsi" w:cstheme="majorHAnsi"/>
        </w:rPr>
        <w:t xml:space="preserve">In order to develop the most informative forecast of chlorophyll-a, we will develop a weighted model </w:t>
      </w:r>
      <w:r w:rsidR="004E371C">
        <w:rPr>
          <w:rFonts w:asciiTheme="majorHAnsi" w:hAnsiTheme="majorHAnsi" w:cstheme="majorHAnsi"/>
        </w:rPr>
        <w:t xml:space="preserve">including both empirical and process-based model outputs </w:t>
      </w:r>
      <w:r w:rsidRPr="004E371C">
        <w:rPr>
          <w:rFonts w:asciiTheme="majorHAnsi" w:hAnsiTheme="majorHAnsi" w:cstheme="majorHAnsi"/>
        </w:rPr>
        <w:t xml:space="preserve">average to incorporate the strengths of multiple models. This will allow the forecast to capture as much variability as possible in chlorophyll-a if for example, one model does a better job of prediction chlorophyll-a at lower concentrations, while another model is more effective at capturing large bloom events. </w:t>
      </w:r>
      <w:r w:rsidR="00BB3FD1" w:rsidRPr="004E371C">
        <w:rPr>
          <w:rFonts w:asciiTheme="majorHAnsi" w:hAnsiTheme="majorHAnsi" w:cstheme="majorHAnsi"/>
        </w:rPr>
        <w:t>Particularly for low probability yet high impact events such as large blooms in phytoplankton,</w:t>
      </w:r>
      <w:r w:rsidR="00E53830" w:rsidRPr="004E371C">
        <w:rPr>
          <w:rFonts w:asciiTheme="majorHAnsi" w:hAnsiTheme="majorHAnsi" w:cstheme="majorHAnsi"/>
        </w:rPr>
        <w:t xml:space="preserve"> </w:t>
      </w:r>
      <w:r w:rsidR="004E371C">
        <w:rPr>
          <w:rFonts w:asciiTheme="majorHAnsi" w:hAnsiTheme="majorHAnsi" w:cstheme="majorHAnsi"/>
        </w:rPr>
        <w:t>preliminary results show that a third model may be necessary to capture these peaks in phytoplankton concentration that may operate under different mechanisms. Incorporating multiple models</w:t>
      </w:r>
      <w:r w:rsidR="00E53830" w:rsidRPr="004E371C">
        <w:rPr>
          <w:rFonts w:asciiTheme="majorHAnsi" w:hAnsiTheme="majorHAnsi" w:cstheme="majorHAnsi"/>
        </w:rPr>
        <w:t xml:space="preserve"> will enable us to</w:t>
      </w:r>
      <w:r w:rsidR="00BB3FD1" w:rsidRPr="004E371C">
        <w:rPr>
          <w:rFonts w:asciiTheme="majorHAnsi" w:hAnsiTheme="majorHAnsi" w:cstheme="majorHAnsi"/>
        </w:rPr>
        <w:t xml:space="preserve"> develop an early-warning system which will alert users when conditions that indicate a peak in phytoplankton is likely to occur.</w:t>
      </w:r>
    </w:p>
    <w:p w14:paraId="4F19CBEF" w14:textId="77777777" w:rsidR="004E371C" w:rsidRDefault="004E371C" w:rsidP="004E371C">
      <w:pPr>
        <w:rPr>
          <w:rFonts w:asciiTheme="majorHAnsi" w:hAnsiTheme="majorHAnsi" w:cstheme="majorHAnsi"/>
          <w:b/>
        </w:rPr>
      </w:pPr>
    </w:p>
    <w:p w14:paraId="14658745" w14:textId="54294A72" w:rsidR="0030717F" w:rsidRPr="004E371C" w:rsidRDefault="0030717F" w:rsidP="004E371C">
      <w:pPr>
        <w:rPr>
          <w:rFonts w:asciiTheme="majorHAnsi" w:hAnsiTheme="majorHAnsi" w:cstheme="majorHAnsi"/>
          <w:b/>
          <w:sz w:val="24"/>
          <w:szCs w:val="24"/>
        </w:rPr>
      </w:pPr>
      <w:r w:rsidRPr="004E371C">
        <w:rPr>
          <w:rFonts w:asciiTheme="majorHAnsi" w:hAnsiTheme="majorHAnsi" w:cstheme="majorHAnsi"/>
          <w:b/>
          <w:sz w:val="24"/>
          <w:szCs w:val="24"/>
        </w:rPr>
        <w:t>Preliminary Results</w:t>
      </w:r>
    </w:p>
    <w:p w14:paraId="1603285A" w14:textId="77777777" w:rsidR="000E2224" w:rsidRPr="00C864F5" w:rsidRDefault="009C41E3" w:rsidP="00C864F5">
      <w:pPr>
        <w:rPr>
          <w:rFonts w:asciiTheme="majorHAnsi" w:hAnsiTheme="majorHAnsi" w:cstheme="majorHAnsi"/>
          <w:u w:val="single"/>
        </w:rPr>
      </w:pPr>
      <w:r w:rsidRPr="00C864F5">
        <w:rPr>
          <w:rFonts w:asciiTheme="majorHAnsi" w:hAnsiTheme="majorHAnsi" w:cstheme="majorHAnsi"/>
          <w:u w:val="single"/>
        </w:rPr>
        <w:t>H</w:t>
      </w:r>
      <w:r w:rsidR="000E2224" w:rsidRPr="00C864F5">
        <w:rPr>
          <w:rFonts w:asciiTheme="majorHAnsi" w:hAnsiTheme="majorHAnsi" w:cstheme="majorHAnsi"/>
          <w:u w:val="single"/>
        </w:rPr>
        <w:t>indcasts of</w:t>
      </w:r>
      <w:r w:rsidRPr="00C864F5">
        <w:rPr>
          <w:rFonts w:asciiTheme="majorHAnsi" w:hAnsiTheme="majorHAnsi" w:cstheme="majorHAnsi"/>
          <w:u w:val="single"/>
        </w:rPr>
        <w:t xml:space="preserve"> chlorophyll-a</w:t>
      </w:r>
    </w:p>
    <w:p w14:paraId="122FC6B6" w14:textId="52E27730" w:rsidR="00BE0607" w:rsidRPr="00C864F5" w:rsidRDefault="00C864F5" w:rsidP="00C864F5">
      <w:pPr>
        <w:rPr>
          <w:rFonts w:asciiTheme="majorHAnsi" w:hAnsiTheme="majorHAnsi" w:cstheme="majorHAnsi"/>
        </w:rPr>
      </w:pPr>
      <w:r w:rsidRPr="00C864F5">
        <w:rPr>
          <w:rFonts w:asciiTheme="majorHAnsi" w:hAnsiTheme="majorHAnsi" w:cstheme="majorHAnsi"/>
        </w:rPr>
        <w:t>Using the summer period of 2013-201</w:t>
      </w:r>
      <w:r w:rsidR="00C40407">
        <w:rPr>
          <w:rFonts w:asciiTheme="majorHAnsi" w:hAnsiTheme="majorHAnsi" w:cstheme="majorHAnsi"/>
        </w:rPr>
        <w:t xml:space="preserve">7 </w:t>
      </w:r>
      <w:r w:rsidRPr="00C864F5">
        <w:rPr>
          <w:rFonts w:asciiTheme="majorHAnsi" w:hAnsiTheme="majorHAnsi" w:cstheme="majorHAnsi"/>
        </w:rPr>
        <w:t xml:space="preserve">as our training period, </w:t>
      </w:r>
      <w:r w:rsidR="00C40407">
        <w:rPr>
          <w:rFonts w:asciiTheme="majorHAnsi" w:hAnsiTheme="majorHAnsi" w:cstheme="majorHAnsi"/>
        </w:rPr>
        <w:t>we developed and calibrated both an empirical, ARIMA, and process-based model, GLM-AED. O</w:t>
      </w:r>
      <w:r w:rsidRPr="00C864F5">
        <w:rPr>
          <w:rFonts w:asciiTheme="majorHAnsi" w:hAnsiTheme="majorHAnsi" w:cstheme="majorHAnsi"/>
        </w:rPr>
        <w:t>ur best-fitting ARIMA model</w:t>
      </w:r>
      <w:r w:rsidR="00C40407">
        <w:rPr>
          <w:rFonts w:asciiTheme="majorHAnsi" w:hAnsiTheme="majorHAnsi" w:cstheme="majorHAnsi"/>
        </w:rPr>
        <w:t xml:space="preserve"> over 2013-2016</w:t>
      </w:r>
      <w:r w:rsidRPr="00C864F5">
        <w:rPr>
          <w:rFonts w:asciiTheme="majorHAnsi" w:hAnsiTheme="majorHAnsi" w:cstheme="majorHAnsi"/>
        </w:rPr>
        <w:t xml:space="preserve"> included discharge to the reservoir and shortwave radiation. ARIMA hindcasted chlorophyll-a over 2013-2016 with an R</w:t>
      </w:r>
      <w:r w:rsidRPr="00C40407">
        <w:rPr>
          <w:rFonts w:asciiTheme="majorHAnsi" w:hAnsiTheme="majorHAnsi" w:cstheme="majorHAnsi"/>
          <w:vertAlign w:val="superscript"/>
        </w:rPr>
        <w:t>2</w:t>
      </w:r>
      <w:r w:rsidRPr="00C864F5">
        <w:rPr>
          <w:rFonts w:asciiTheme="majorHAnsi" w:hAnsiTheme="majorHAnsi" w:cstheme="majorHAnsi"/>
        </w:rPr>
        <w:t xml:space="preserve"> = 0.44 and RMSE = 1.71 ug/L. The ARIMA model was able to </w:t>
      </w:r>
      <w:r w:rsidR="000A6831">
        <w:rPr>
          <w:rFonts w:asciiTheme="majorHAnsi" w:hAnsiTheme="majorHAnsi" w:cstheme="majorHAnsi"/>
        </w:rPr>
        <w:t xml:space="preserve">successfully </w:t>
      </w:r>
      <w:r w:rsidRPr="00C864F5">
        <w:rPr>
          <w:rFonts w:asciiTheme="majorHAnsi" w:hAnsiTheme="majorHAnsi" w:cstheme="majorHAnsi"/>
        </w:rPr>
        <w:t>capture</w:t>
      </w:r>
      <w:r w:rsidR="000E2224" w:rsidRPr="00C864F5">
        <w:rPr>
          <w:rFonts w:asciiTheme="majorHAnsi" w:hAnsiTheme="majorHAnsi" w:cstheme="majorHAnsi"/>
        </w:rPr>
        <w:t xml:space="preserve"> </w:t>
      </w:r>
      <w:r w:rsidR="000A6831">
        <w:rPr>
          <w:rFonts w:asciiTheme="majorHAnsi" w:hAnsiTheme="majorHAnsi" w:cstheme="majorHAnsi"/>
        </w:rPr>
        <w:t>fluctuations</w:t>
      </w:r>
      <w:r w:rsidR="000E2224" w:rsidRPr="00C864F5">
        <w:rPr>
          <w:rFonts w:asciiTheme="majorHAnsi" w:hAnsiTheme="majorHAnsi" w:cstheme="majorHAnsi"/>
        </w:rPr>
        <w:t xml:space="preserve"> at lower chlorophyll-a concentrations (&lt;10 ug/L</w:t>
      </w:r>
      <w:r>
        <w:rPr>
          <w:rFonts w:asciiTheme="majorHAnsi" w:hAnsiTheme="majorHAnsi" w:cstheme="majorHAnsi"/>
        </w:rPr>
        <w:t>)</w:t>
      </w:r>
      <w:r w:rsidR="00C40407">
        <w:rPr>
          <w:rFonts w:asciiTheme="majorHAnsi" w:hAnsiTheme="majorHAnsi" w:cstheme="majorHAnsi"/>
        </w:rPr>
        <w:t xml:space="preserve"> (Figure </w:t>
      </w:r>
      <w:r w:rsidR="00BE0607">
        <w:rPr>
          <w:rFonts w:asciiTheme="majorHAnsi" w:hAnsiTheme="majorHAnsi" w:cstheme="majorHAnsi"/>
        </w:rPr>
        <w:t>2</w:t>
      </w:r>
      <w:r w:rsidR="00C40407">
        <w:rPr>
          <w:rFonts w:asciiTheme="majorHAnsi" w:hAnsiTheme="majorHAnsi" w:cstheme="majorHAnsi"/>
        </w:rPr>
        <w:t>).</w:t>
      </w:r>
      <w:r>
        <w:rPr>
          <w:rFonts w:asciiTheme="majorHAnsi" w:hAnsiTheme="majorHAnsi" w:cstheme="majorHAnsi"/>
        </w:rPr>
        <w:t xml:space="preserve"> </w:t>
      </w:r>
      <w:r w:rsidRPr="00C864F5">
        <w:rPr>
          <w:rFonts w:asciiTheme="majorHAnsi" w:hAnsiTheme="majorHAnsi" w:cstheme="majorHAnsi"/>
        </w:rPr>
        <w:t xml:space="preserve">However, when chlorophyll-a reached values above ~10 ug/L, the model the model was unable to recreate these </w:t>
      </w:r>
      <w:r w:rsidR="00BB3FD1">
        <w:rPr>
          <w:rFonts w:asciiTheme="majorHAnsi" w:hAnsiTheme="majorHAnsi" w:cstheme="majorHAnsi"/>
        </w:rPr>
        <w:t xml:space="preserve">observed </w:t>
      </w:r>
      <w:r w:rsidRPr="00C864F5">
        <w:rPr>
          <w:rFonts w:asciiTheme="majorHAnsi" w:hAnsiTheme="majorHAnsi" w:cstheme="majorHAnsi"/>
        </w:rPr>
        <w:t xml:space="preserve">dynamics. </w:t>
      </w:r>
      <w:r w:rsidR="00C40407">
        <w:rPr>
          <w:rFonts w:asciiTheme="majorHAnsi" w:hAnsiTheme="majorHAnsi" w:cstheme="majorHAnsi"/>
        </w:rPr>
        <w:t>GLM-AED was calibrated over 2013-</w:t>
      </w:r>
      <w:r w:rsidR="000A6831">
        <w:rPr>
          <w:rFonts w:asciiTheme="majorHAnsi" w:hAnsiTheme="majorHAnsi" w:cstheme="majorHAnsi"/>
        </w:rPr>
        <w:t xml:space="preserve">2016 </w:t>
      </w:r>
      <w:r w:rsidR="00C40407">
        <w:rPr>
          <w:rFonts w:asciiTheme="majorHAnsi" w:hAnsiTheme="majorHAnsi" w:cstheme="majorHAnsi"/>
        </w:rPr>
        <w:t xml:space="preserve">and hindcasted chlorophyll-a with </w:t>
      </w:r>
      <w:commentRangeStart w:id="3"/>
      <w:r w:rsidR="00C40407">
        <w:rPr>
          <w:rFonts w:asciiTheme="majorHAnsi" w:hAnsiTheme="majorHAnsi" w:cstheme="majorHAnsi"/>
        </w:rPr>
        <w:t xml:space="preserve">R2 = XXX and RMSE = YYYY.  </w:t>
      </w:r>
      <w:commentRangeEnd w:id="3"/>
      <w:r w:rsidR="00C40407">
        <w:rPr>
          <w:rStyle w:val="CommentReference"/>
        </w:rPr>
        <w:lastRenderedPageBreak/>
        <w:commentReference w:id="3"/>
      </w:r>
      <w:r w:rsidR="00BB3FD1">
        <w:rPr>
          <w:rFonts w:asciiTheme="majorHAnsi" w:hAnsiTheme="majorHAnsi" w:cstheme="majorHAnsi"/>
        </w:rPr>
        <w:t xml:space="preserve">While GLM-AED does not capture as much detail in chlorophyll-a dynamics, it does capture some large peaks in chlorophyll-a that ARIMA does not. </w:t>
      </w:r>
      <w:r w:rsidR="00BE0607" w:rsidRPr="00C40407">
        <w:rPr>
          <w:rFonts w:asciiTheme="majorHAnsi" w:hAnsiTheme="majorHAnsi" w:cstheme="majorHAnsi"/>
          <w:noProof/>
        </w:rPr>
        <w:drawing>
          <wp:inline distT="0" distB="0" distL="0" distR="0" wp14:anchorId="61F3AF13" wp14:editId="5C90454A">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4DE6E891" w14:textId="77777777" w:rsidR="00BE0607" w:rsidRPr="00BE0607" w:rsidRDefault="00BE0607" w:rsidP="00C40407">
      <w:pPr>
        <w:rPr>
          <w:rFonts w:asciiTheme="majorHAnsi" w:hAnsiTheme="majorHAnsi" w:cstheme="majorHAnsi"/>
        </w:rPr>
      </w:pPr>
      <w:r w:rsidRPr="00BE0607">
        <w:rPr>
          <w:rFonts w:asciiTheme="majorHAnsi" w:hAnsiTheme="majorHAnsi" w:cstheme="majorHAnsi"/>
        </w:rPr>
        <w:t xml:space="preserve">Figure 2. </w:t>
      </w:r>
      <w:r>
        <w:rPr>
          <w:rFonts w:asciiTheme="majorHAnsi" w:hAnsiTheme="majorHAnsi" w:cstheme="majorHAnsi"/>
        </w:rPr>
        <w:t>Observed and modeled chlorophyll-a data over 2013-2016.</w:t>
      </w:r>
    </w:p>
    <w:p w14:paraId="10E472E7" w14:textId="57639DCB" w:rsidR="00E7692C" w:rsidRPr="00DD2314" w:rsidRDefault="00E7692C" w:rsidP="00A04A63">
      <w:pPr>
        <w:rPr>
          <w:rFonts w:asciiTheme="majorHAnsi" w:hAnsiTheme="majorHAnsi" w:cstheme="majorHAnsi"/>
          <w:i/>
        </w:rPr>
      </w:pP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14:paraId="41263A89" w14:textId="77777777" w:rsidTr="00C0219D">
        <w:tc>
          <w:tcPr>
            <w:tcW w:w="10075" w:type="dxa"/>
            <w:gridSpan w:val="6"/>
          </w:tcPr>
          <w:p w14:paraId="23605193" w14:textId="0160C275" w:rsidR="007F6DA5" w:rsidRDefault="007F6DA5" w:rsidP="00A04A63">
            <w:pPr>
              <w:rPr>
                <w:rFonts w:asciiTheme="majorHAnsi" w:hAnsiTheme="majorHAnsi" w:cstheme="majorHAnsi"/>
              </w:rPr>
            </w:pPr>
            <w:r>
              <w:rPr>
                <w:rFonts w:asciiTheme="majorHAnsi" w:hAnsiTheme="majorHAnsi" w:cstheme="majorHAnsi"/>
                <w:b/>
              </w:rPr>
              <w:t xml:space="preserve">Table 2. </w:t>
            </w:r>
            <w:r w:rsidRPr="00DD2314">
              <w:rPr>
                <w:rFonts w:asciiTheme="majorHAnsi" w:hAnsiTheme="majorHAnsi" w:cstheme="majorHAnsi"/>
                <w:b/>
              </w:rPr>
              <w:t>Proposed timeline for Chapter 1</w:t>
            </w:r>
            <w:r>
              <w:rPr>
                <w:rFonts w:asciiTheme="majorHAnsi" w:hAnsiTheme="majorHAnsi" w:cstheme="majorHAnsi"/>
              </w:rPr>
              <w:br/>
            </w:r>
            <w:r>
              <w:rPr>
                <w:rFonts w:asciiTheme="majorHAnsi" w:hAnsiTheme="majorHAnsi" w:cstheme="majorHAnsi"/>
                <w:i/>
              </w:rPr>
              <w:t>B</w:t>
            </w:r>
            <w:r w:rsidRPr="00DD2314">
              <w:rPr>
                <w:rFonts w:asciiTheme="majorHAnsi" w:hAnsiTheme="majorHAnsi" w:cstheme="majorHAnsi"/>
                <w:i/>
              </w:rPr>
              <w:t xml:space="preserve">lack boxes </w:t>
            </w:r>
            <w:proofErr w:type="gramStart"/>
            <w:r w:rsidRPr="00DD2314">
              <w:rPr>
                <w:rFonts w:asciiTheme="majorHAnsi" w:hAnsiTheme="majorHAnsi" w:cstheme="majorHAnsi"/>
                <w:i/>
              </w:rPr>
              <w:t>indicate</w:t>
            </w:r>
            <w:proofErr w:type="gramEnd"/>
            <w:r w:rsidRPr="00DD2314">
              <w:rPr>
                <w:rFonts w:asciiTheme="majorHAnsi" w:hAnsiTheme="majorHAnsi" w:cstheme="majorHAnsi"/>
                <w:i/>
              </w:rPr>
              <w:t xml:space="preserve"> complete</w:t>
            </w:r>
            <w:r>
              <w:rPr>
                <w:rFonts w:asciiTheme="majorHAnsi" w:hAnsiTheme="majorHAnsi" w:cstheme="majorHAnsi"/>
                <w:i/>
              </w:rPr>
              <w:t>d tasks</w:t>
            </w:r>
            <w:r w:rsidRPr="00DD2314">
              <w:rPr>
                <w:rFonts w:asciiTheme="majorHAnsi" w:hAnsiTheme="majorHAnsi" w:cstheme="majorHAnsi"/>
                <w:i/>
              </w:rPr>
              <w:t>, gray boxes indicate proposed completion</w:t>
            </w:r>
          </w:p>
        </w:tc>
      </w:tr>
      <w:tr w:rsidR="00DD2314" w14:paraId="7044B54F" w14:textId="77777777" w:rsidTr="00F222C1">
        <w:tc>
          <w:tcPr>
            <w:tcW w:w="3595" w:type="dxa"/>
          </w:tcPr>
          <w:p w14:paraId="2718BB65" w14:textId="77777777" w:rsidR="00DD2314" w:rsidRDefault="00DD2314" w:rsidP="00A04A63">
            <w:pPr>
              <w:rPr>
                <w:rFonts w:asciiTheme="majorHAnsi" w:hAnsiTheme="majorHAnsi" w:cstheme="majorHAnsi"/>
              </w:rPr>
            </w:pPr>
          </w:p>
        </w:tc>
        <w:tc>
          <w:tcPr>
            <w:tcW w:w="1080" w:type="dxa"/>
          </w:tcPr>
          <w:p w14:paraId="7AD9E35C" w14:textId="77777777" w:rsidR="00DD2314" w:rsidRDefault="00DD2314" w:rsidP="00A04A63">
            <w:pPr>
              <w:rPr>
                <w:rFonts w:asciiTheme="majorHAnsi" w:hAnsiTheme="majorHAnsi" w:cstheme="majorHAnsi"/>
              </w:rPr>
            </w:pPr>
            <w:r>
              <w:rPr>
                <w:rFonts w:asciiTheme="majorHAnsi" w:hAnsiTheme="majorHAnsi" w:cstheme="majorHAnsi"/>
              </w:rPr>
              <w:t>Fall 2018</w:t>
            </w:r>
          </w:p>
        </w:tc>
        <w:tc>
          <w:tcPr>
            <w:tcW w:w="1350" w:type="dxa"/>
          </w:tcPr>
          <w:p w14:paraId="13F4402D" w14:textId="77777777" w:rsidR="00DD2314" w:rsidRDefault="00DD2314" w:rsidP="00A04A63">
            <w:pPr>
              <w:rPr>
                <w:rFonts w:asciiTheme="majorHAnsi" w:hAnsiTheme="majorHAnsi" w:cstheme="majorHAnsi"/>
              </w:rPr>
            </w:pPr>
            <w:r>
              <w:rPr>
                <w:rFonts w:asciiTheme="majorHAnsi" w:hAnsiTheme="majorHAnsi" w:cstheme="majorHAnsi"/>
              </w:rPr>
              <w:t>Spring 2019</w:t>
            </w:r>
          </w:p>
        </w:tc>
        <w:tc>
          <w:tcPr>
            <w:tcW w:w="1530" w:type="dxa"/>
          </w:tcPr>
          <w:p w14:paraId="1C4ECCA6" w14:textId="77777777" w:rsidR="00DD2314" w:rsidRDefault="00DD2314" w:rsidP="00A04A63">
            <w:pPr>
              <w:rPr>
                <w:rFonts w:asciiTheme="majorHAnsi" w:hAnsiTheme="majorHAnsi" w:cstheme="majorHAnsi"/>
              </w:rPr>
            </w:pPr>
            <w:r>
              <w:rPr>
                <w:rFonts w:asciiTheme="majorHAnsi" w:hAnsiTheme="majorHAnsi" w:cstheme="majorHAnsi"/>
              </w:rPr>
              <w:t>Summer 2019</w:t>
            </w:r>
          </w:p>
        </w:tc>
        <w:tc>
          <w:tcPr>
            <w:tcW w:w="1129" w:type="dxa"/>
          </w:tcPr>
          <w:p w14:paraId="160DCF07" w14:textId="77777777" w:rsidR="00DD2314" w:rsidRDefault="00DD2314" w:rsidP="00A04A63">
            <w:pPr>
              <w:rPr>
                <w:rFonts w:asciiTheme="majorHAnsi" w:hAnsiTheme="majorHAnsi" w:cstheme="majorHAnsi"/>
              </w:rPr>
            </w:pPr>
            <w:r>
              <w:rPr>
                <w:rFonts w:asciiTheme="majorHAnsi" w:hAnsiTheme="majorHAnsi" w:cstheme="majorHAnsi"/>
              </w:rPr>
              <w:t>Fall 2019</w:t>
            </w:r>
          </w:p>
        </w:tc>
        <w:tc>
          <w:tcPr>
            <w:tcW w:w="1391" w:type="dxa"/>
          </w:tcPr>
          <w:p w14:paraId="2ACC0767" w14:textId="77777777" w:rsidR="00DD2314" w:rsidRDefault="00DD2314" w:rsidP="00A04A63">
            <w:pPr>
              <w:rPr>
                <w:rFonts w:asciiTheme="majorHAnsi" w:hAnsiTheme="majorHAnsi" w:cstheme="majorHAnsi"/>
              </w:rPr>
            </w:pPr>
            <w:r>
              <w:rPr>
                <w:rFonts w:asciiTheme="majorHAnsi" w:hAnsiTheme="majorHAnsi" w:cstheme="majorHAnsi"/>
              </w:rPr>
              <w:t>Spring 2020</w:t>
            </w:r>
          </w:p>
        </w:tc>
      </w:tr>
      <w:tr w:rsidR="00DD2314" w14:paraId="30323E7C" w14:textId="77777777" w:rsidTr="00F222C1">
        <w:tc>
          <w:tcPr>
            <w:tcW w:w="3595" w:type="dxa"/>
          </w:tcPr>
          <w:p w14:paraId="16EC8F10" w14:textId="77777777" w:rsidR="00DD2314" w:rsidRDefault="00DD2314" w:rsidP="00A04A63">
            <w:pPr>
              <w:rPr>
                <w:rFonts w:asciiTheme="majorHAnsi" w:hAnsiTheme="majorHAnsi" w:cstheme="majorHAnsi"/>
              </w:rPr>
            </w:pPr>
            <w:r>
              <w:rPr>
                <w:rFonts w:asciiTheme="majorHAnsi" w:hAnsiTheme="majorHAnsi" w:cstheme="majorHAnsi"/>
              </w:rPr>
              <w:t>Develop ARIMA GLM-AED</w:t>
            </w:r>
          </w:p>
        </w:tc>
        <w:tc>
          <w:tcPr>
            <w:tcW w:w="1080" w:type="dxa"/>
            <w:shd w:val="clear" w:color="auto" w:fill="0D0D0D" w:themeFill="text1" w:themeFillTint="F2"/>
          </w:tcPr>
          <w:p w14:paraId="0C3919EE" w14:textId="77777777" w:rsidR="00DD2314" w:rsidRDefault="00DD2314" w:rsidP="00A04A63">
            <w:pPr>
              <w:rPr>
                <w:rFonts w:asciiTheme="majorHAnsi" w:hAnsiTheme="majorHAnsi" w:cstheme="majorHAnsi"/>
              </w:rPr>
            </w:pPr>
          </w:p>
        </w:tc>
        <w:tc>
          <w:tcPr>
            <w:tcW w:w="1350" w:type="dxa"/>
          </w:tcPr>
          <w:p w14:paraId="05A46D05" w14:textId="77777777" w:rsidR="00DD2314" w:rsidRDefault="00DD2314" w:rsidP="00A04A63">
            <w:pPr>
              <w:rPr>
                <w:rFonts w:asciiTheme="majorHAnsi" w:hAnsiTheme="majorHAnsi" w:cstheme="majorHAnsi"/>
              </w:rPr>
            </w:pPr>
          </w:p>
        </w:tc>
        <w:tc>
          <w:tcPr>
            <w:tcW w:w="1530" w:type="dxa"/>
          </w:tcPr>
          <w:p w14:paraId="0FF71D14" w14:textId="77777777" w:rsidR="00DD2314" w:rsidRDefault="00DD2314" w:rsidP="00A04A63">
            <w:pPr>
              <w:rPr>
                <w:rFonts w:asciiTheme="majorHAnsi" w:hAnsiTheme="majorHAnsi" w:cstheme="majorHAnsi"/>
              </w:rPr>
            </w:pPr>
          </w:p>
        </w:tc>
        <w:tc>
          <w:tcPr>
            <w:tcW w:w="1129" w:type="dxa"/>
          </w:tcPr>
          <w:p w14:paraId="16234DF4" w14:textId="77777777" w:rsidR="00DD2314" w:rsidRDefault="00DD2314" w:rsidP="00A04A63">
            <w:pPr>
              <w:rPr>
                <w:rFonts w:asciiTheme="majorHAnsi" w:hAnsiTheme="majorHAnsi" w:cstheme="majorHAnsi"/>
              </w:rPr>
            </w:pPr>
          </w:p>
        </w:tc>
        <w:tc>
          <w:tcPr>
            <w:tcW w:w="1391" w:type="dxa"/>
          </w:tcPr>
          <w:p w14:paraId="63723A44" w14:textId="77777777" w:rsidR="00DD2314" w:rsidRDefault="00DD2314" w:rsidP="00A04A63">
            <w:pPr>
              <w:rPr>
                <w:rFonts w:asciiTheme="majorHAnsi" w:hAnsiTheme="majorHAnsi" w:cstheme="majorHAnsi"/>
              </w:rPr>
            </w:pPr>
          </w:p>
        </w:tc>
      </w:tr>
      <w:tr w:rsidR="00BB3FD1" w14:paraId="201867FA" w14:textId="77777777" w:rsidTr="00F222C1">
        <w:tc>
          <w:tcPr>
            <w:tcW w:w="3595" w:type="dxa"/>
          </w:tcPr>
          <w:p w14:paraId="1293F796" w14:textId="77777777" w:rsidR="00BB3FD1" w:rsidRDefault="00BB3FD1" w:rsidP="00A04A63">
            <w:pPr>
              <w:rPr>
                <w:rFonts w:asciiTheme="majorHAnsi" w:hAnsiTheme="majorHAnsi" w:cstheme="majorHAnsi"/>
              </w:rPr>
            </w:pPr>
            <w:r>
              <w:rPr>
                <w:rFonts w:asciiTheme="majorHAnsi" w:hAnsiTheme="majorHAnsi" w:cstheme="majorHAnsi"/>
              </w:rPr>
              <w:t>Calibrate GLM-AED</w:t>
            </w:r>
          </w:p>
        </w:tc>
        <w:tc>
          <w:tcPr>
            <w:tcW w:w="1080" w:type="dxa"/>
            <w:shd w:val="clear" w:color="auto" w:fill="0D0D0D" w:themeFill="text1" w:themeFillTint="F2"/>
          </w:tcPr>
          <w:p w14:paraId="518DF57B" w14:textId="77777777" w:rsidR="00BB3FD1" w:rsidRDefault="00BB3FD1" w:rsidP="00A04A63">
            <w:pPr>
              <w:rPr>
                <w:rFonts w:asciiTheme="majorHAnsi" w:hAnsiTheme="majorHAnsi" w:cstheme="majorHAnsi"/>
              </w:rPr>
            </w:pPr>
          </w:p>
        </w:tc>
        <w:tc>
          <w:tcPr>
            <w:tcW w:w="1350" w:type="dxa"/>
          </w:tcPr>
          <w:p w14:paraId="4E0F4E2B" w14:textId="77777777" w:rsidR="00BB3FD1" w:rsidRDefault="00BB3FD1" w:rsidP="00A04A63">
            <w:pPr>
              <w:rPr>
                <w:rFonts w:asciiTheme="majorHAnsi" w:hAnsiTheme="majorHAnsi" w:cstheme="majorHAnsi"/>
              </w:rPr>
            </w:pPr>
          </w:p>
        </w:tc>
        <w:tc>
          <w:tcPr>
            <w:tcW w:w="1530" w:type="dxa"/>
          </w:tcPr>
          <w:p w14:paraId="3C36A355" w14:textId="77777777" w:rsidR="00BB3FD1" w:rsidRDefault="00BB3FD1" w:rsidP="00A04A63">
            <w:pPr>
              <w:rPr>
                <w:rFonts w:asciiTheme="majorHAnsi" w:hAnsiTheme="majorHAnsi" w:cstheme="majorHAnsi"/>
              </w:rPr>
            </w:pPr>
          </w:p>
        </w:tc>
        <w:tc>
          <w:tcPr>
            <w:tcW w:w="1129" w:type="dxa"/>
          </w:tcPr>
          <w:p w14:paraId="1724DA4F" w14:textId="77777777" w:rsidR="00BB3FD1" w:rsidRDefault="00BB3FD1" w:rsidP="00A04A63">
            <w:pPr>
              <w:rPr>
                <w:rFonts w:asciiTheme="majorHAnsi" w:hAnsiTheme="majorHAnsi" w:cstheme="majorHAnsi"/>
              </w:rPr>
            </w:pPr>
          </w:p>
        </w:tc>
        <w:tc>
          <w:tcPr>
            <w:tcW w:w="1391" w:type="dxa"/>
          </w:tcPr>
          <w:p w14:paraId="7BD7C7C9" w14:textId="77777777" w:rsidR="00BB3FD1" w:rsidRDefault="00BB3FD1" w:rsidP="00A04A63">
            <w:pPr>
              <w:rPr>
                <w:rFonts w:asciiTheme="majorHAnsi" w:hAnsiTheme="majorHAnsi" w:cstheme="majorHAnsi"/>
              </w:rPr>
            </w:pPr>
          </w:p>
        </w:tc>
      </w:tr>
      <w:tr w:rsidR="00BB3FD1" w14:paraId="598C40D0" w14:textId="77777777" w:rsidTr="00F222C1">
        <w:tc>
          <w:tcPr>
            <w:tcW w:w="3595" w:type="dxa"/>
          </w:tcPr>
          <w:p w14:paraId="6359A255" w14:textId="77777777" w:rsidR="00BB3FD1" w:rsidRDefault="00BB3FD1" w:rsidP="00A04A63">
            <w:pPr>
              <w:rPr>
                <w:rFonts w:asciiTheme="majorHAnsi" w:hAnsiTheme="majorHAnsi" w:cstheme="majorHAnsi"/>
              </w:rPr>
            </w:pPr>
            <w:r>
              <w:rPr>
                <w:rFonts w:asciiTheme="majorHAnsi" w:hAnsiTheme="majorHAnsi" w:cstheme="majorHAnsi"/>
              </w:rPr>
              <w:t>Produce hindcasts</w:t>
            </w:r>
            <w:r w:rsidR="000A6831">
              <w:rPr>
                <w:rFonts w:asciiTheme="majorHAnsi" w:hAnsiTheme="majorHAnsi" w:cstheme="majorHAnsi"/>
              </w:rPr>
              <w:t xml:space="preserve"> </w:t>
            </w:r>
          </w:p>
        </w:tc>
        <w:tc>
          <w:tcPr>
            <w:tcW w:w="1080" w:type="dxa"/>
            <w:shd w:val="clear" w:color="auto" w:fill="0D0D0D" w:themeFill="text1" w:themeFillTint="F2"/>
          </w:tcPr>
          <w:p w14:paraId="00B57FC8" w14:textId="77777777" w:rsidR="00BB3FD1" w:rsidRDefault="00BB3FD1" w:rsidP="00A04A63">
            <w:pPr>
              <w:rPr>
                <w:rFonts w:asciiTheme="majorHAnsi" w:hAnsiTheme="majorHAnsi" w:cstheme="majorHAnsi"/>
              </w:rPr>
            </w:pPr>
          </w:p>
        </w:tc>
        <w:tc>
          <w:tcPr>
            <w:tcW w:w="1350" w:type="dxa"/>
          </w:tcPr>
          <w:p w14:paraId="4DF3DA85" w14:textId="77777777" w:rsidR="00BB3FD1" w:rsidRDefault="00BB3FD1" w:rsidP="00A04A63">
            <w:pPr>
              <w:rPr>
                <w:rFonts w:asciiTheme="majorHAnsi" w:hAnsiTheme="majorHAnsi" w:cstheme="majorHAnsi"/>
              </w:rPr>
            </w:pPr>
          </w:p>
        </w:tc>
        <w:tc>
          <w:tcPr>
            <w:tcW w:w="1530" w:type="dxa"/>
          </w:tcPr>
          <w:p w14:paraId="1F13095F" w14:textId="77777777" w:rsidR="00BB3FD1" w:rsidRDefault="00BB3FD1" w:rsidP="00A04A63">
            <w:pPr>
              <w:rPr>
                <w:rFonts w:asciiTheme="majorHAnsi" w:hAnsiTheme="majorHAnsi" w:cstheme="majorHAnsi"/>
              </w:rPr>
            </w:pPr>
          </w:p>
        </w:tc>
        <w:tc>
          <w:tcPr>
            <w:tcW w:w="1129" w:type="dxa"/>
          </w:tcPr>
          <w:p w14:paraId="385B336A" w14:textId="77777777" w:rsidR="00BB3FD1" w:rsidRDefault="00BB3FD1" w:rsidP="00A04A63">
            <w:pPr>
              <w:rPr>
                <w:rFonts w:asciiTheme="majorHAnsi" w:hAnsiTheme="majorHAnsi" w:cstheme="majorHAnsi"/>
              </w:rPr>
            </w:pPr>
          </w:p>
        </w:tc>
        <w:tc>
          <w:tcPr>
            <w:tcW w:w="1391" w:type="dxa"/>
          </w:tcPr>
          <w:p w14:paraId="1DD0424D" w14:textId="77777777" w:rsidR="00BB3FD1" w:rsidRDefault="00BB3FD1" w:rsidP="00A04A63">
            <w:pPr>
              <w:rPr>
                <w:rFonts w:asciiTheme="majorHAnsi" w:hAnsiTheme="majorHAnsi" w:cstheme="majorHAnsi"/>
              </w:rPr>
            </w:pPr>
          </w:p>
        </w:tc>
      </w:tr>
      <w:tr w:rsidR="00BB3FD1" w14:paraId="4FF654F7" w14:textId="77777777" w:rsidTr="00F222C1">
        <w:tc>
          <w:tcPr>
            <w:tcW w:w="3595" w:type="dxa"/>
          </w:tcPr>
          <w:p w14:paraId="749F5848" w14:textId="77777777" w:rsidR="00BB3FD1" w:rsidRDefault="00BB3FD1" w:rsidP="00A04A63">
            <w:pPr>
              <w:rPr>
                <w:rFonts w:asciiTheme="majorHAnsi" w:hAnsiTheme="majorHAnsi" w:cstheme="majorHAnsi"/>
              </w:rPr>
            </w:pPr>
            <w:r>
              <w:rPr>
                <w:rFonts w:asciiTheme="majorHAnsi" w:hAnsiTheme="majorHAnsi" w:cstheme="majorHAnsi"/>
              </w:rPr>
              <w:t>Validate model</w:t>
            </w:r>
            <w:r w:rsidR="000A6831">
              <w:rPr>
                <w:rFonts w:asciiTheme="majorHAnsi" w:hAnsiTheme="majorHAnsi" w:cstheme="majorHAnsi"/>
              </w:rPr>
              <w:t xml:space="preserve"> (Q1)</w:t>
            </w:r>
          </w:p>
        </w:tc>
        <w:tc>
          <w:tcPr>
            <w:tcW w:w="1080" w:type="dxa"/>
            <w:shd w:val="clear" w:color="auto" w:fill="FFFFFF" w:themeFill="background1"/>
          </w:tcPr>
          <w:p w14:paraId="200AB181" w14:textId="77777777" w:rsidR="00BB3FD1" w:rsidRDefault="00BB3FD1" w:rsidP="00A04A63">
            <w:pPr>
              <w:rPr>
                <w:rFonts w:asciiTheme="majorHAnsi" w:hAnsiTheme="majorHAnsi" w:cstheme="majorHAnsi"/>
              </w:rPr>
            </w:pPr>
          </w:p>
        </w:tc>
        <w:tc>
          <w:tcPr>
            <w:tcW w:w="1350" w:type="dxa"/>
            <w:shd w:val="clear" w:color="auto" w:fill="A6A6A6" w:themeFill="background1" w:themeFillShade="A6"/>
          </w:tcPr>
          <w:p w14:paraId="55485257" w14:textId="77777777" w:rsidR="00BB3FD1" w:rsidRDefault="00BB3FD1" w:rsidP="00A04A63">
            <w:pPr>
              <w:rPr>
                <w:rFonts w:asciiTheme="majorHAnsi" w:hAnsiTheme="majorHAnsi" w:cstheme="majorHAnsi"/>
              </w:rPr>
            </w:pPr>
          </w:p>
        </w:tc>
        <w:tc>
          <w:tcPr>
            <w:tcW w:w="1530" w:type="dxa"/>
          </w:tcPr>
          <w:p w14:paraId="528BC173" w14:textId="77777777" w:rsidR="00BB3FD1" w:rsidRDefault="00BB3FD1" w:rsidP="00A04A63">
            <w:pPr>
              <w:rPr>
                <w:rFonts w:asciiTheme="majorHAnsi" w:hAnsiTheme="majorHAnsi" w:cstheme="majorHAnsi"/>
              </w:rPr>
            </w:pPr>
          </w:p>
        </w:tc>
        <w:tc>
          <w:tcPr>
            <w:tcW w:w="1129" w:type="dxa"/>
          </w:tcPr>
          <w:p w14:paraId="56893D8E" w14:textId="77777777" w:rsidR="00BB3FD1" w:rsidRDefault="00BB3FD1" w:rsidP="00A04A63">
            <w:pPr>
              <w:rPr>
                <w:rFonts w:asciiTheme="majorHAnsi" w:hAnsiTheme="majorHAnsi" w:cstheme="majorHAnsi"/>
              </w:rPr>
            </w:pPr>
          </w:p>
        </w:tc>
        <w:tc>
          <w:tcPr>
            <w:tcW w:w="1391" w:type="dxa"/>
          </w:tcPr>
          <w:p w14:paraId="6A0B5630" w14:textId="77777777" w:rsidR="00BB3FD1" w:rsidRDefault="00BB3FD1" w:rsidP="00A04A63">
            <w:pPr>
              <w:rPr>
                <w:rFonts w:asciiTheme="majorHAnsi" w:hAnsiTheme="majorHAnsi" w:cstheme="majorHAnsi"/>
              </w:rPr>
            </w:pPr>
          </w:p>
        </w:tc>
      </w:tr>
      <w:tr w:rsidR="00F222C1" w14:paraId="4366B6EB" w14:textId="77777777" w:rsidTr="00F222C1">
        <w:tc>
          <w:tcPr>
            <w:tcW w:w="3595" w:type="dxa"/>
          </w:tcPr>
          <w:p w14:paraId="38470094" w14:textId="3DCF39E8" w:rsidR="00F222C1" w:rsidRDefault="00F222C1" w:rsidP="00A04A63">
            <w:pPr>
              <w:rPr>
                <w:rFonts w:asciiTheme="majorHAnsi" w:hAnsiTheme="majorHAnsi" w:cstheme="majorHAnsi"/>
              </w:rPr>
            </w:pPr>
            <w:r>
              <w:rPr>
                <w:rFonts w:asciiTheme="majorHAnsi" w:hAnsiTheme="majorHAnsi" w:cstheme="majorHAnsi"/>
              </w:rPr>
              <w:t>Adapt FLARE code for ARIMA (Q2)</w:t>
            </w:r>
          </w:p>
        </w:tc>
        <w:tc>
          <w:tcPr>
            <w:tcW w:w="1080" w:type="dxa"/>
          </w:tcPr>
          <w:p w14:paraId="16EDF58D" w14:textId="77777777" w:rsidR="00F222C1" w:rsidRDefault="00F222C1" w:rsidP="00A04A63">
            <w:pPr>
              <w:rPr>
                <w:rFonts w:asciiTheme="majorHAnsi" w:hAnsiTheme="majorHAnsi" w:cstheme="majorHAnsi"/>
              </w:rPr>
            </w:pPr>
          </w:p>
        </w:tc>
        <w:tc>
          <w:tcPr>
            <w:tcW w:w="1350" w:type="dxa"/>
            <w:shd w:val="clear" w:color="auto" w:fill="A6A6A6" w:themeFill="background1" w:themeFillShade="A6"/>
          </w:tcPr>
          <w:p w14:paraId="41F1D626" w14:textId="77777777" w:rsidR="00F222C1" w:rsidRDefault="00F222C1" w:rsidP="00A04A63">
            <w:pPr>
              <w:rPr>
                <w:rFonts w:asciiTheme="majorHAnsi" w:hAnsiTheme="majorHAnsi" w:cstheme="majorHAnsi"/>
              </w:rPr>
            </w:pPr>
          </w:p>
        </w:tc>
        <w:tc>
          <w:tcPr>
            <w:tcW w:w="1530" w:type="dxa"/>
            <w:shd w:val="clear" w:color="auto" w:fill="FFFFFF" w:themeFill="background1"/>
          </w:tcPr>
          <w:p w14:paraId="75B144EC" w14:textId="77777777" w:rsidR="00F222C1" w:rsidRDefault="00F222C1" w:rsidP="00A04A63">
            <w:pPr>
              <w:rPr>
                <w:rFonts w:asciiTheme="majorHAnsi" w:hAnsiTheme="majorHAnsi" w:cstheme="majorHAnsi"/>
              </w:rPr>
            </w:pPr>
          </w:p>
        </w:tc>
        <w:tc>
          <w:tcPr>
            <w:tcW w:w="1129" w:type="dxa"/>
          </w:tcPr>
          <w:p w14:paraId="2CADF8C3" w14:textId="77777777" w:rsidR="00F222C1" w:rsidRDefault="00F222C1" w:rsidP="00A04A63">
            <w:pPr>
              <w:rPr>
                <w:rFonts w:asciiTheme="majorHAnsi" w:hAnsiTheme="majorHAnsi" w:cstheme="majorHAnsi"/>
              </w:rPr>
            </w:pPr>
          </w:p>
        </w:tc>
        <w:tc>
          <w:tcPr>
            <w:tcW w:w="1391" w:type="dxa"/>
          </w:tcPr>
          <w:p w14:paraId="292D2164" w14:textId="77777777" w:rsidR="00F222C1" w:rsidRDefault="00F222C1" w:rsidP="00A04A63">
            <w:pPr>
              <w:rPr>
                <w:rFonts w:asciiTheme="majorHAnsi" w:hAnsiTheme="majorHAnsi" w:cstheme="majorHAnsi"/>
              </w:rPr>
            </w:pPr>
          </w:p>
        </w:tc>
      </w:tr>
      <w:tr w:rsidR="00DD2314" w14:paraId="29D438FA" w14:textId="77777777" w:rsidTr="00F222C1">
        <w:tc>
          <w:tcPr>
            <w:tcW w:w="3595" w:type="dxa"/>
          </w:tcPr>
          <w:p w14:paraId="3826664A" w14:textId="7FC70838" w:rsidR="00DD2314" w:rsidRDefault="00DD2314" w:rsidP="00A04A63">
            <w:pPr>
              <w:rPr>
                <w:rFonts w:asciiTheme="majorHAnsi" w:hAnsiTheme="majorHAnsi" w:cstheme="majorHAnsi"/>
              </w:rPr>
            </w:pPr>
            <w:r>
              <w:rPr>
                <w:rFonts w:asciiTheme="majorHAnsi" w:hAnsiTheme="majorHAnsi" w:cstheme="majorHAnsi"/>
              </w:rPr>
              <w:t xml:space="preserve">Create integrated model </w:t>
            </w:r>
            <w:r w:rsidR="00F222C1">
              <w:rPr>
                <w:rFonts w:asciiTheme="majorHAnsi" w:hAnsiTheme="majorHAnsi" w:cstheme="majorHAnsi"/>
              </w:rPr>
              <w:t xml:space="preserve">average </w:t>
            </w:r>
            <w:r w:rsidR="000A6831">
              <w:rPr>
                <w:rFonts w:asciiTheme="majorHAnsi" w:hAnsiTheme="majorHAnsi" w:cstheme="majorHAnsi"/>
              </w:rPr>
              <w:t>(Q3)</w:t>
            </w:r>
          </w:p>
        </w:tc>
        <w:tc>
          <w:tcPr>
            <w:tcW w:w="1080" w:type="dxa"/>
          </w:tcPr>
          <w:p w14:paraId="342F0790" w14:textId="77777777" w:rsidR="00DD2314" w:rsidRDefault="00DD2314" w:rsidP="00A04A63">
            <w:pPr>
              <w:rPr>
                <w:rFonts w:asciiTheme="majorHAnsi" w:hAnsiTheme="majorHAnsi" w:cstheme="majorHAnsi"/>
              </w:rPr>
            </w:pPr>
          </w:p>
        </w:tc>
        <w:tc>
          <w:tcPr>
            <w:tcW w:w="1350" w:type="dxa"/>
            <w:shd w:val="clear" w:color="auto" w:fill="A6A6A6" w:themeFill="background1" w:themeFillShade="A6"/>
          </w:tcPr>
          <w:p w14:paraId="0B42019F"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7E44F039" w14:textId="77777777" w:rsidR="00DD2314" w:rsidRDefault="00DD2314" w:rsidP="00A04A63">
            <w:pPr>
              <w:rPr>
                <w:rFonts w:asciiTheme="majorHAnsi" w:hAnsiTheme="majorHAnsi" w:cstheme="majorHAnsi"/>
              </w:rPr>
            </w:pPr>
          </w:p>
        </w:tc>
        <w:tc>
          <w:tcPr>
            <w:tcW w:w="1129" w:type="dxa"/>
          </w:tcPr>
          <w:p w14:paraId="35C0B524" w14:textId="77777777" w:rsidR="00DD2314" w:rsidRDefault="00DD2314" w:rsidP="00A04A63">
            <w:pPr>
              <w:rPr>
                <w:rFonts w:asciiTheme="majorHAnsi" w:hAnsiTheme="majorHAnsi" w:cstheme="majorHAnsi"/>
              </w:rPr>
            </w:pPr>
          </w:p>
        </w:tc>
        <w:tc>
          <w:tcPr>
            <w:tcW w:w="1391" w:type="dxa"/>
          </w:tcPr>
          <w:p w14:paraId="3CF1F86D" w14:textId="77777777" w:rsidR="00DD2314" w:rsidRDefault="00DD2314" w:rsidP="00A04A63">
            <w:pPr>
              <w:rPr>
                <w:rFonts w:asciiTheme="majorHAnsi" w:hAnsiTheme="majorHAnsi" w:cstheme="majorHAnsi"/>
              </w:rPr>
            </w:pPr>
          </w:p>
        </w:tc>
      </w:tr>
      <w:tr w:rsidR="00DD2314" w14:paraId="7565D925" w14:textId="77777777" w:rsidTr="00F222C1">
        <w:tc>
          <w:tcPr>
            <w:tcW w:w="3595" w:type="dxa"/>
          </w:tcPr>
          <w:p w14:paraId="60B8F2E1" w14:textId="77777777" w:rsidR="00DD2314" w:rsidRDefault="00DD2314" w:rsidP="00A04A63">
            <w:pPr>
              <w:rPr>
                <w:rFonts w:asciiTheme="majorHAnsi" w:hAnsiTheme="majorHAnsi" w:cstheme="majorHAnsi"/>
              </w:rPr>
            </w:pPr>
            <w:r>
              <w:rPr>
                <w:rFonts w:asciiTheme="majorHAnsi" w:hAnsiTheme="majorHAnsi" w:cstheme="majorHAnsi"/>
              </w:rPr>
              <w:t>Run forecasts in FLARE</w:t>
            </w:r>
          </w:p>
        </w:tc>
        <w:tc>
          <w:tcPr>
            <w:tcW w:w="1080" w:type="dxa"/>
          </w:tcPr>
          <w:p w14:paraId="324A8E9C" w14:textId="77777777" w:rsidR="00DD2314" w:rsidRDefault="00DD2314" w:rsidP="00A04A63">
            <w:pPr>
              <w:rPr>
                <w:rFonts w:asciiTheme="majorHAnsi" w:hAnsiTheme="majorHAnsi" w:cstheme="majorHAnsi"/>
              </w:rPr>
            </w:pPr>
          </w:p>
        </w:tc>
        <w:tc>
          <w:tcPr>
            <w:tcW w:w="1350" w:type="dxa"/>
          </w:tcPr>
          <w:p w14:paraId="714DCD96" w14:textId="77777777" w:rsidR="00DD2314" w:rsidRDefault="00DD2314" w:rsidP="00A04A63">
            <w:pPr>
              <w:rPr>
                <w:rFonts w:asciiTheme="majorHAnsi" w:hAnsiTheme="majorHAnsi" w:cstheme="majorHAnsi"/>
              </w:rPr>
            </w:pPr>
          </w:p>
        </w:tc>
        <w:tc>
          <w:tcPr>
            <w:tcW w:w="1530" w:type="dxa"/>
            <w:shd w:val="clear" w:color="auto" w:fill="A6A6A6" w:themeFill="background1" w:themeFillShade="A6"/>
          </w:tcPr>
          <w:p w14:paraId="50D4E84E" w14:textId="77777777" w:rsidR="00DD2314" w:rsidRDefault="00DD2314" w:rsidP="00A04A63">
            <w:pPr>
              <w:rPr>
                <w:rFonts w:asciiTheme="majorHAnsi" w:hAnsiTheme="majorHAnsi" w:cstheme="majorHAnsi"/>
              </w:rPr>
            </w:pPr>
          </w:p>
        </w:tc>
        <w:tc>
          <w:tcPr>
            <w:tcW w:w="1129" w:type="dxa"/>
            <w:shd w:val="clear" w:color="auto" w:fill="A6A6A6" w:themeFill="background1" w:themeFillShade="A6"/>
          </w:tcPr>
          <w:p w14:paraId="12E0D912" w14:textId="77777777" w:rsidR="00DD2314" w:rsidRDefault="00DD2314" w:rsidP="00A04A63">
            <w:pPr>
              <w:rPr>
                <w:rFonts w:asciiTheme="majorHAnsi" w:hAnsiTheme="majorHAnsi" w:cstheme="majorHAnsi"/>
              </w:rPr>
            </w:pPr>
          </w:p>
        </w:tc>
        <w:tc>
          <w:tcPr>
            <w:tcW w:w="1391" w:type="dxa"/>
            <w:shd w:val="clear" w:color="auto" w:fill="A6A6A6" w:themeFill="background1" w:themeFillShade="A6"/>
          </w:tcPr>
          <w:p w14:paraId="56F44E1F" w14:textId="77777777" w:rsidR="00DD2314" w:rsidRDefault="00DD2314" w:rsidP="00A04A63">
            <w:pPr>
              <w:rPr>
                <w:rFonts w:asciiTheme="majorHAnsi" w:hAnsiTheme="majorHAnsi" w:cstheme="majorHAnsi"/>
              </w:rPr>
            </w:pPr>
          </w:p>
        </w:tc>
      </w:tr>
      <w:tr w:rsidR="00DD2314" w14:paraId="7AFA8888" w14:textId="77777777" w:rsidTr="00F222C1">
        <w:tc>
          <w:tcPr>
            <w:tcW w:w="3595" w:type="dxa"/>
          </w:tcPr>
          <w:p w14:paraId="5F485122" w14:textId="718B57EA" w:rsidR="00DD2314" w:rsidRDefault="00DD2314" w:rsidP="00A04A63">
            <w:pPr>
              <w:rPr>
                <w:rFonts w:asciiTheme="majorHAnsi" w:hAnsiTheme="majorHAnsi" w:cstheme="majorHAnsi"/>
              </w:rPr>
            </w:pPr>
            <w:r>
              <w:rPr>
                <w:rFonts w:asciiTheme="majorHAnsi" w:hAnsiTheme="majorHAnsi" w:cstheme="majorHAnsi"/>
              </w:rPr>
              <w:t>Submit manuscript</w:t>
            </w:r>
            <w:r w:rsidR="00A56374">
              <w:rPr>
                <w:rFonts w:asciiTheme="majorHAnsi" w:hAnsiTheme="majorHAnsi" w:cstheme="majorHAnsi"/>
              </w:rPr>
              <w:t xml:space="preserve">, </w:t>
            </w:r>
            <w:r w:rsidR="00A56374" w:rsidRPr="00A56374">
              <w:rPr>
                <w:rFonts w:asciiTheme="majorHAnsi" w:hAnsiTheme="majorHAnsi" w:cstheme="majorHAnsi"/>
                <w:i/>
              </w:rPr>
              <w:t xml:space="preserve">target journal: </w:t>
            </w:r>
            <w:r w:rsidR="004E371C">
              <w:rPr>
                <w:rFonts w:asciiTheme="majorHAnsi" w:hAnsiTheme="majorHAnsi" w:cstheme="majorHAnsi"/>
                <w:i/>
              </w:rPr>
              <w:t>Ecological Applications</w:t>
            </w:r>
          </w:p>
        </w:tc>
        <w:tc>
          <w:tcPr>
            <w:tcW w:w="1080" w:type="dxa"/>
          </w:tcPr>
          <w:p w14:paraId="745D6661" w14:textId="77777777" w:rsidR="00DD2314" w:rsidRDefault="00DD2314" w:rsidP="00A04A63">
            <w:pPr>
              <w:rPr>
                <w:rFonts w:asciiTheme="majorHAnsi" w:hAnsiTheme="majorHAnsi" w:cstheme="majorHAnsi"/>
              </w:rPr>
            </w:pPr>
          </w:p>
        </w:tc>
        <w:tc>
          <w:tcPr>
            <w:tcW w:w="1350" w:type="dxa"/>
          </w:tcPr>
          <w:p w14:paraId="3E2DA00F" w14:textId="77777777" w:rsidR="00DD2314" w:rsidRDefault="00DD2314" w:rsidP="00A04A63">
            <w:pPr>
              <w:rPr>
                <w:rFonts w:asciiTheme="majorHAnsi" w:hAnsiTheme="majorHAnsi" w:cstheme="majorHAnsi"/>
              </w:rPr>
            </w:pPr>
          </w:p>
        </w:tc>
        <w:tc>
          <w:tcPr>
            <w:tcW w:w="1530" w:type="dxa"/>
          </w:tcPr>
          <w:p w14:paraId="77622CFF" w14:textId="77777777" w:rsidR="00DD2314" w:rsidRDefault="00DD2314" w:rsidP="00A04A63">
            <w:pPr>
              <w:rPr>
                <w:rFonts w:asciiTheme="majorHAnsi" w:hAnsiTheme="majorHAnsi" w:cstheme="majorHAnsi"/>
              </w:rPr>
            </w:pPr>
          </w:p>
        </w:tc>
        <w:tc>
          <w:tcPr>
            <w:tcW w:w="1129" w:type="dxa"/>
            <w:shd w:val="clear" w:color="auto" w:fill="auto"/>
          </w:tcPr>
          <w:p w14:paraId="0C6532C5" w14:textId="7217AC7C" w:rsidR="00DD2314" w:rsidRDefault="00DD2314" w:rsidP="00A04A63">
            <w:pPr>
              <w:rPr>
                <w:rFonts w:asciiTheme="majorHAnsi" w:hAnsiTheme="majorHAnsi" w:cstheme="majorHAnsi"/>
              </w:rPr>
            </w:pPr>
          </w:p>
        </w:tc>
        <w:tc>
          <w:tcPr>
            <w:tcW w:w="1391" w:type="dxa"/>
            <w:shd w:val="clear" w:color="auto" w:fill="A6A6A6" w:themeFill="background1" w:themeFillShade="A6"/>
          </w:tcPr>
          <w:p w14:paraId="2159540F" w14:textId="77777777" w:rsidR="00DD2314" w:rsidRDefault="00DD2314" w:rsidP="00A04A63">
            <w:pPr>
              <w:rPr>
                <w:rFonts w:asciiTheme="majorHAnsi" w:hAnsiTheme="majorHAnsi" w:cstheme="majorHAnsi"/>
              </w:rPr>
            </w:pPr>
          </w:p>
        </w:tc>
      </w:tr>
    </w:tbl>
    <w:p w14:paraId="7854B560" w14:textId="77777777" w:rsidR="0099602B" w:rsidRDefault="0099602B" w:rsidP="00A04A63">
      <w:pPr>
        <w:rPr>
          <w:rFonts w:asciiTheme="majorHAnsi" w:hAnsiTheme="majorHAnsi" w:cstheme="majorHAnsi"/>
        </w:rPr>
      </w:pPr>
    </w:p>
    <w:p w14:paraId="64BF1A56" w14:textId="5C454B19" w:rsidR="00E7692C" w:rsidRDefault="00E7692C" w:rsidP="00A04A63">
      <w:pPr>
        <w:rPr>
          <w:rFonts w:asciiTheme="majorHAnsi" w:hAnsiTheme="majorHAnsi" w:cstheme="majorHAnsi"/>
        </w:rPr>
      </w:pPr>
    </w:p>
    <w:p w14:paraId="695EDFB6" w14:textId="77B93CF4" w:rsidR="00A60B4B" w:rsidRDefault="00A60B4B" w:rsidP="00A04A63">
      <w:pPr>
        <w:rPr>
          <w:rFonts w:asciiTheme="majorHAnsi" w:hAnsiTheme="majorHAnsi" w:cstheme="majorHAnsi"/>
        </w:rPr>
      </w:pPr>
    </w:p>
    <w:p w14:paraId="186455CD" w14:textId="77777777" w:rsidR="00A60B4B" w:rsidRPr="00191BF5" w:rsidRDefault="00A60B4B" w:rsidP="00A04A63">
      <w:pPr>
        <w:rPr>
          <w:rFonts w:asciiTheme="majorHAnsi" w:hAnsiTheme="majorHAnsi" w:cstheme="majorHAnsi"/>
        </w:rPr>
      </w:pPr>
    </w:p>
    <w:p w14:paraId="3C1E285F" w14:textId="77777777" w:rsidR="009963CB" w:rsidRPr="002A5554" w:rsidRDefault="009963CB" w:rsidP="009963CB">
      <w:pPr>
        <w:rPr>
          <w:b/>
        </w:rPr>
      </w:pPr>
      <w:r>
        <w:rPr>
          <w:b/>
        </w:rPr>
        <w:lastRenderedPageBreak/>
        <w:t>Chapter 2. Spatial heterogeneity of</w:t>
      </w:r>
      <w:r w:rsidRPr="002A5554">
        <w:rPr>
          <w:b/>
        </w:rPr>
        <w:t xml:space="preserve"> nutrient</w:t>
      </w:r>
      <w:r>
        <w:rPr>
          <w:b/>
        </w:rPr>
        <w:t>s</w:t>
      </w:r>
      <w:r w:rsidRPr="002A5554">
        <w:rPr>
          <w:b/>
        </w:rPr>
        <w:t xml:space="preserve"> and phytoplankton along a double reservoir continuum</w:t>
      </w:r>
    </w:p>
    <w:p w14:paraId="476DBFBF" w14:textId="39C13731" w:rsidR="009963CB" w:rsidRDefault="009963CB" w:rsidP="009963CB">
      <w:pPr>
        <w:ind w:firstLine="720"/>
      </w:pPr>
      <w:r>
        <w:t xml:space="preserve">In the face of global change, understanding how and why freshwater systems vary is more important than ever. </w:t>
      </w:r>
      <w:r>
        <w:t>Identifying ‘hotspots’ of chemical or biological activity can help prioritize management efforts to areas within freshwater systems that are more vulnerable to eutrophication or changes in trophic status. These hotspots are inherently connected to the incoming chemical or biological activity from upstream water sources</w:t>
      </w:r>
      <w:r>
        <w:t xml:space="preserve">. </w:t>
      </w:r>
      <w:r>
        <w:t>Varying types of freshwater systems, for example s</w:t>
      </w:r>
      <w:r>
        <w:t>treams and lakes</w:t>
      </w:r>
      <w:r>
        <w:t>,</w:t>
      </w:r>
      <w:r>
        <w:t xml:space="preserve"> </w:t>
      </w:r>
      <w:r>
        <w:t>each</w:t>
      </w:r>
      <w:r>
        <w:t xml:space="preserve"> have unique ways of retaining and transporting nutrients and biota, meaning accounting for the presence of these waterbodies upstream is crucial to understanding what nutrients are being received downstream by a waterbody. For example, Kling et al. (2000) found that the amount of consumption or production of nutrients which occurred within a lentic system was approximately reciprocated within subsequent lotic systems. However, this study is somewhat unique in focusing on both lentic or lotic systems, while most do not consider </w:t>
      </w:r>
      <w:r w:rsidR="007D5C7F">
        <w:t xml:space="preserve">how </w:t>
      </w:r>
      <w:r>
        <w:t xml:space="preserve">these systems relate to one another. </w:t>
      </w:r>
    </w:p>
    <w:p w14:paraId="5861ED4F" w14:textId="2EFE0936" w:rsidR="009963CB" w:rsidRDefault="009963CB" w:rsidP="009963CB">
      <w:pPr>
        <w:ind w:firstLine="360"/>
      </w:pPr>
      <w:r>
        <w:t xml:space="preserve">Reservoirs specifically are systems marked by physical </w:t>
      </w:r>
      <w:r>
        <w:t>heterogeneity and</w:t>
      </w:r>
      <w:r>
        <w:t xml:space="preserve"> are classically defined as having a gradient of riverine, transitional, and lacustrine zones (Thornton et al. 1990). The chemical and biological communities along this reservoir gradient are often discrete </w:t>
      </w:r>
      <w:r w:rsidR="007D5C7F">
        <w:t xml:space="preserve">between zones </w:t>
      </w:r>
      <w:r>
        <w:t xml:space="preserve">as well, showing a high amount of heterogeneity as you go along the downstream gradient of the reservoir. We know that many processes which consume or produce nutrients occur within waterbodies such that nutrients going into a system are substantially different from those going out (Harrison et al. 2009, Kling et al. 2000, Powers et al. 2015, for example). However, studies examining how concentrations of nitrogen, phosphorus, and chlorophyll-a within reservoirs change along the reservoir gradient report inconsistent patterns. Some have found that nitrogen is highest in the riverine zone due to high nutrient inputs </w:t>
      </w:r>
      <w:r w:rsidR="007D5C7F">
        <w:t xml:space="preserve">from the watershed </w:t>
      </w:r>
      <w:r>
        <w:t>(Soares et al. 2012), while others have found that the transitional zone, where turbulence is decreased yet nutrients are still abundant, is a hotspot for nitrogen concentrations (Scott et al. 2009). Similarly, patterns in chlorophyll-a heterogeneity are inconsistent between studies, with some studies finding that chlorophyll-a is highest in the riverine zone, decreasing along the downstream gradient (Scott et al. 2009)</w:t>
      </w:r>
      <w:r w:rsidR="007D5C7F">
        <w:t>. In contrast, o</w:t>
      </w:r>
      <w:r>
        <w:t>thers report the transitional zone</w:t>
      </w:r>
      <w:r w:rsidR="007D5C7F">
        <w:t xml:space="preserve"> as being a hotspot for phytoplankton activity</w:t>
      </w:r>
      <w:r>
        <w:t xml:space="preserve"> (</w:t>
      </w:r>
      <w:proofErr w:type="spellStart"/>
      <w:r>
        <w:t>Rychtecky</w:t>
      </w:r>
      <w:proofErr w:type="spellEnd"/>
      <w:r>
        <w:t xml:space="preserve"> &amp; </w:t>
      </w:r>
      <w:proofErr w:type="spellStart"/>
      <w:r>
        <w:t>Znachor</w:t>
      </w:r>
      <w:proofErr w:type="spellEnd"/>
      <w:r>
        <w:t xml:space="preserve">, 2011), and others still </w:t>
      </w:r>
      <w:r w:rsidR="007D5C7F">
        <w:t xml:space="preserve">have found </w:t>
      </w:r>
      <w:r>
        <w:t xml:space="preserve">the lacustrine zone </w:t>
      </w:r>
      <w:r w:rsidR="007D5C7F">
        <w:t xml:space="preserve">to be </w:t>
      </w:r>
      <w:r>
        <w:t xml:space="preserve">rich in chlorophyll-a in systems that are not limited by nutrient availability (Soares et al. 2012). </w:t>
      </w:r>
      <w:r w:rsidR="00F305CF">
        <w:t xml:space="preserve">Further, Borges et al. 2008 found that the longitudinal pattern of heterogeneity of chlorophyll-a was variable with season in two tropical reservoirs in Brazil. </w:t>
      </w:r>
      <w:r>
        <w:t xml:space="preserve">Trends in phosphorus heterogeneity are </w:t>
      </w:r>
      <w:r w:rsidR="00F305CF">
        <w:t>less</w:t>
      </w:r>
      <w:r>
        <w:t xml:space="preserve"> often reporte</w:t>
      </w:r>
      <w:r w:rsidR="00F305CF">
        <w:t>d. O</w:t>
      </w:r>
      <w:r w:rsidR="007D5C7F">
        <w:t xml:space="preserve">ne study of a </w:t>
      </w:r>
      <w:r w:rsidR="00336D7F">
        <w:t xml:space="preserve">large, deep </w:t>
      </w:r>
      <w:r w:rsidR="007D5C7F">
        <w:t xml:space="preserve">reservoir in the Czech Republic showed that both soluble and total phosphorus decreased along the reservoir gradient </w:t>
      </w:r>
      <w:r w:rsidR="007D5C7F">
        <w:t>(</w:t>
      </w:r>
      <w:proofErr w:type="spellStart"/>
      <w:r w:rsidR="007D5C7F">
        <w:t>Rychtecky</w:t>
      </w:r>
      <w:proofErr w:type="spellEnd"/>
      <w:r w:rsidR="007D5C7F">
        <w:t xml:space="preserve"> &amp; </w:t>
      </w:r>
      <w:proofErr w:type="spellStart"/>
      <w:r w:rsidR="007D5C7F">
        <w:t>Znachor</w:t>
      </w:r>
      <w:proofErr w:type="spellEnd"/>
      <w:r w:rsidR="007D5C7F">
        <w:t>, 2011)</w:t>
      </w:r>
      <w:r>
        <w:t xml:space="preserve">. </w:t>
      </w:r>
      <w:r w:rsidR="00F305CF">
        <w:t xml:space="preserve">Borges et al. (2008) found contrasting patterns in two reservoirs in Brazil, one showing a decrease in phosphorus along the reservoir gradient, while another showed no clear longitudinal pattern. </w:t>
      </w:r>
      <w:r>
        <w:t xml:space="preserve">While </w:t>
      </w:r>
      <w:proofErr w:type="gramStart"/>
      <w:r>
        <w:t>all of</w:t>
      </w:r>
      <w:proofErr w:type="gramEnd"/>
      <w:r>
        <w:t xml:space="preserve"> these studies agree that spatial heterogeneity of nutrients and phytoplankton exists along a reservoir gradient, a clear pattern does not arise across reservoir type</w:t>
      </w:r>
      <w:r w:rsidR="00336D7F">
        <w:t>, and a lack of research on small, eutrophic reservoirs is apparent</w:t>
      </w:r>
      <w:r>
        <w:t xml:space="preserve">. A better understanding of </w:t>
      </w:r>
      <w:r w:rsidR="007D5C7F">
        <w:t>the</w:t>
      </w:r>
      <w:r>
        <w:t xml:space="preserve"> heterogeneity </w:t>
      </w:r>
      <w:r w:rsidR="007D5C7F">
        <w:t xml:space="preserve">of a </w:t>
      </w:r>
      <w:r w:rsidR="00400E63">
        <w:t>variety of reservoir types</w:t>
      </w:r>
      <w:r w:rsidR="007D5C7F">
        <w:t xml:space="preserve"> </w:t>
      </w:r>
      <w:r>
        <w:t xml:space="preserve">is crucial to identifying hotspots of chemical and biological activity. </w:t>
      </w:r>
    </w:p>
    <w:p w14:paraId="223D977C" w14:textId="480FBBCE" w:rsidR="009963CB" w:rsidRDefault="009963CB" w:rsidP="00E0166E">
      <w:pPr>
        <w:ind w:firstLine="360"/>
      </w:pPr>
      <w:r>
        <w:t xml:space="preserve">An important factor that </w:t>
      </w:r>
      <w:r w:rsidR="00400E63">
        <w:t>can affect the</w:t>
      </w:r>
      <w:r>
        <w:t xml:space="preserve"> heterogeneity of chemical and biological variables is hydrologic flow. Under low flow conditions, residence times of reservoirs and streams are increased, resulting in slower export of nutrients and more time for biotic processing (Saunders and </w:t>
      </w:r>
      <w:proofErr w:type="spellStart"/>
      <w:r>
        <w:t>Kalff</w:t>
      </w:r>
      <w:proofErr w:type="spellEnd"/>
      <w:r>
        <w:t xml:space="preserve">, 2001). However, high flow conditions can also bring in large amount of external nutrients which are often limiting to phytoplankton. Retention time directly affected spatial heterogeneity in a tropical reservoir </w:t>
      </w:r>
      <w:r>
        <w:lastRenderedPageBreak/>
        <w:t>(Soares et al 2012), with longer retention times showing greater spatial heterogeneity</w:t>
      </w:r>
      <w:r w:rsidR="00400E63">
        <w:t>, as the riverine, transitional, and lacustrine zones become more physically distinct</w:t>
      </w:r>
      <w:r>
        <w:t xml:space="preserve">. </w:t>
      </w:r>
      <w:r>
        <w:t>Further, p</w:t>
      </w:r>
      <w:r>
        <w:t>reliminary results from forecasting phytoplankton in my study system has revealed the importance of stream discharge, or changes in hydrologic flow, to phytoplankton dynamics</w:t>
      </w:r>
      <w:r>
        <w:t xml:space="preserve"> at the deepest site of a reservoir</w:t>
      </w:r>
      <w:r w:rsidR="00400E63">
        <w:t xml:space="preserve">. </w:t>
      </w:r>
      <w:proofErr w:type="gramStart"/>
      <w:r w:rsidR="00400E63">
        <w:t>This findings</w:t>
      </w:r>
      <w:proofErr w:type="gramEnd"/>
      <w:r w:rsidR="00400E63">
        <w:t xml:space="preserve"> highlights the </w:t>
      </w:r>
      <w:r>
        <w:t>need to better understand the importance of hydrologic flow to phytoplankton along the entire reservoir gradient</w:t>
      </w:r>
      <w:r>
        <w:t>. While forecasting is a necessary first step in anticipating these changes, more work needs to be done to better understand these systems and decrease the uncertainty in our forecasts.</w:t>
      </w:r>
    </w:p>
    <w:p w14:paraId="2FE946F7" w14:textId="02ED4C1E" w:rsidR="009963CB" w:rsidRDefault="009963CB" w:rsidP="009963CB">
      <w:pPr>
        <w:ind w:firstLine="720"/>
      </w:pPr>
      <w:commentRangeStart w:id="4"/>
      <w:r>
        <w:t>Lastly, a major driver of differences in chemical and biological composition of a waterbody is the presence of upstream waterbodies</w:t>
      </w:r>
      <w:commentRangeEnd w:id="4"/>
      <w:r>
        <w:rPr>
          <w:rStyle w:val="CommentReference"/>
        </w:rPr>
        <w:commentReference w:id="4"/>
      </w:r>
      <w:r>
        <w:t xml:space="preserve">. Studies looking at the effect of watershed connectivity and lake chain show that downstream nutrients are significantly reduced by the presence of impoundments upstream (Bosch et al. 2009, Powers et al. 2015, </w:t>
      </w:r>
      <w:proofErr w:type="spellStart"/>
      <w:r>
        <w:t>Stachelek</w:t>
      </w:r>
      <w:proofErr w:type="spellEnd"/>
      <w:r>
        <w:t xml:space="preserve"> &amp; </w:t>
      </w:r>
      <w:proofErr w:type="spellStart"/>
      <w:r>
        <w:t>Soranno</w:t>
      </w:r>
      <w:proofErr w:type="spellEnd"/>
      <w:r>
        <w:t xml:space="preserve"> 2019). </w:t>
      </w:r>
      <w:r w:rsidR="002C487C">
        <w:t xml:space="preserve">In contrast, Brown et al. (2008) found that increases in upstream lake area was significantly correlated to increases in total nitrogen of small mountain lakes. </w:t>
      </w:r>
      <w:r>
        <w:t xml:space="preserve">Studies looking at lake chain impact are not usually associated with a high-resolution spatial coverage of connecting streams or with high-resolution spatial coverage within the lakes or reservoirs. How does reservoir chain location influence spatial heterogeneity? </w:t>
      </w:r>
    </w:p>
    <w:p w14:paraId="2354402F" w14:textId="77777777" w:rsidR="009963CB" w:rsidRPr="004A457A" w:rsidRDefault="009963CB" w:rsidP="009963CB">
      <w:pPr>
        <w:rPr>
          <w:b/>
          <w:u w:val="single"/>
        </w:rPr>
      </w:pPr>
      <w:r w:rsidRPr="004A457A">
        <w:rPr>
          <w:b/>
          <w:u w:val="single"/>
        </w:rPr>
        <w:t>Proposed Work</w:t>
      </w:r>
    </w:p>
    <w:p w14:paraId="722F055E" w14:textId="176B33B0" w:rsidR="009963CB" w:rsidRDefault="009963CB" w:rsidP="009963CB">
      <w:r>
        <w:t xml:space="preserve">My second chapter will focus on the longitudinal spatial heterogeneity of nitrogen, phosphorus, and chlorophyll-a in Beaverdam Reservoir (BVR) and Falling Creek Reservoir (FCR) and the influence of reservoir chain number on this heterogeneity. Additionally, I will examine the impact of </w:t>
      </w:r>
      <w:r w:rsidR="00114590">
        <w:t xml:space="preserve">seasonality and </w:t>
      </w:r>
      <w:r>
        <w:t xml:space="preserve">hydrologic flow on heterogeneity. This research will ultimately better inform our understanding of how freshwater systems, both lentic and lotic, will respond in the face of global climate change, which is expected to include more variability in residence time as a result of changing precipitation patterns. </w:t>
      </w:r>
    </w:p>
    <w:p w14:paraId="10EDCD21" w14:textId="77777777" w:rsidR="009963CB" w:rsidRPr="002F73B0" w:rsidRDefault="009963CB" w:rsidP="009963CB">
      <w:pPr>
        <w:rPr>
          <w:i/>
        </w:rPr>
      </w:pPr>
      <w:r w:rsidRPr="00115C76">
        <w:rPr>
          <w:b/>
          <w:i/>
        </w:rPr>
        <w:t>Question 1</w:t>
      </w:r>
      <w:r w:rsidRPr="002F73B0">
        <w:rPr>
          <w:i/>
        </w:rPr>
        <w:t>: What is the longitudinal heterogeneity of nitrogen, phosphorus, and chlorophyll-a along a double reservoir continuum?</w:t>
      </w:r>
    </w:p>
    <w:p w14:paraId="58442097" w14:textId="4E3BE7E5" w:rsidR="00400E63" w:rsidRDefault="009963CB" w:rsidP="00400E63">
      <w:pPr>
        <w:rPr>
          <w:b/>
          <w:i/>
        </w:rPr>
      </w:pPr>
      <w:commentRangeStart w:id="5"/>
      <w:r w:rsidRPr="00115C76">
        <w:rPr>
          <w:b/>
        </w:rPr>
        <w:t xml:space="preserve">Hypothesis </w:t>
      </w:r>
      <w:commentRangeEnd w:id="5"/>
      <w:r>
        <w:rPr>
          <w:rStyle w:val="CommentReference"/>
        </w:rPr>
        <w:commentReference w:id="5"/>
      </w:r>
      <w:r>
        <w:rPr>
          <w:b/>
        </w:rPr>
        <w:t>1</w:t>
      </w:r>
      <w:r>
        <w:t xml:space="preserve">:  I hypothesize that there will be spatial heterogeneity in nitrogen, phosphorus, and chlorophyll-a within the both BVR and FCR along a reservoir gradient of riverine to transitional to lacustrine (Figure </w:t>
      </w:r>
      <w:r w:rsidR="002C487C">
        <w:t>3</w:t>
      </w:r>
      <w:r>
        <w:t xml:space="preserve">). While some studies posit that chemical and biological activity should be lowest in the lacustrine zone due to nutrient limitation (Kimmel et al. 1990), I believe this will not be the case in </w:t>
      </w:r>
      <w:r w:rsidR="00400E63">
        <w:t xml:space="preserve">our </w:t>
      </w:r>
      <w:r>
        <w:t>shallow, eutrophic reservoirs which experience substantial internal loading (Gerling et al. 2016).</w:t>
      </w:r>
      <w:r w:rsidR="00400E63" w:rsidRPr="00400E63">
        <w:rPr>
          <w:b/>
          <w:i/>
        </w:rPr>
        <w:t xml:space="preserve"> </w:t>
      </w:r>
    </w:p>
    <w:p w14:paraId="0DE326B6" w14:textId="0E2C65A5" w:rsidR="009963CB" w:rsidRDefault="00400E63" w:rsidP="00400E63">
      <w:pPr>
        <w:jc w:val="center"/>
      </w:pPr>
      <w:r w:rsidRPr="00400E63">
        <w:rPr>
          <w:b/>
          <w:i/>
        </w:rPr>
        <w:lastRenderedPageBreak/>
        <w:drawing>
          <wp:inline distT="0" distB="0" distL="0" distR="0" wp14:anchorId="74D0791E" wp14:editId="7124CA28">
            <wp:extent cx="4344550" cy="3041650"/>
            <wp:effectExtent l="0" t="0" r="0" b="6350"/>
            <wp:docPr id="21" name="Picture 20">
              <a:extLst xmlns:a="http://schemas.openxmlformats.org/drawingml/2006/main">
                <a:ext uri="{FF2B5EF4-FFF2-40B4-BE49-F238E27FC236}">
                  <a16:creationId xmlns:a16="http://schemas.microsoft.com/office/drawing/2014/main" id="{1DCDE9AC-3073-4C39-A0FF-33DA645B98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DCDE9AC-3073-4C39-A0FF-33DA645B98AC}"/>
                        </a:ext>
                      </a:extLst>
                    </pic:cNvPr>
                    <pic:cNvPicPr>
                      <a:picLocks noChangeAspect="1"/>
                    </pic:cNvPicPr>
                  </pic:nvPicPr>
                  <pic:blipFill>
                    <a:blip r:embed="rId12"/>
                    <a:stretch>
                      <a:fillRect/>
                    </a:stretch>
                  </pic:blipFill>
                  <pic:spPr>
                    <a:xfrm>
                      <a:off x="0" y="0"/>
                      <a:ext cx="4368419" cy="3058361"/>
                    </a:xfrm>
                    <a:prstGeom prst="rect">
                      <a:avLst/>
                    </a:prstGeom>
                  </pic:spPr>
                </pic:pic>
              </a:graphicData>
            </a:graphic>
          </wp:inline>
        </w:drawing>
      </w:r>
    </w:p>
    <w:p w14:paraId="36FDABE8" w14:textId="370EF170" w:rsidR="00400E63" w:rsidRDefault="00400E63" w:rsidP="009963CB">
      <w:pPr>
        <w:rPr>
          <w:b/>
          <w:i/>
        </w:rPr>
      </w:pPr>
    </w:p>
    <w:p w14:paraId="608491FB" w14:textId="48A31CCB" w:rsidR="00400E63" w:rsidRPr="00D26236" w:rsidRDefault="009963CB" w:rsidP="009963CB">
      <w:pPr>
        <w:rPr>
          <w:i/>
        </w:rPr>
      </w:pPr>
      <w:r w:rsidRPr="00D26236">
        <w:rPr>
          <w:b/>
          <w:i/>
        </w:rPr>
        <w:t xml:space="preserve">Question </w:t>
      </w:r>
      <w:r>
        <w:rPr>
          <w:b/>
          <w:i/>
        </w:rPr>
        <w:t>2</w:t>
      </w:r>
      <w:r w:rsidRPr="00D26236">
        <w:rPr>
          <w:i/>
        </w:rPr>
        <w:t xml:space="preserve">: </w:t>
      </w:r>
      <w:r>
        <w:rPr>
          <w:i/>
        </w:rPr>
        <w:t>How does a gradient of hydrologic flow conditions influence</w:t>
      </w:r>
      <w:r w:rsidRPr="00D26236">
        <w:rPr>
          <w:i/>
        </w:rPr>
        <w:t xml:space="preserve"> </w:t>
      </w:r>
      <w:r>
        <w:rPr>
          <w:i/>
        </w:rPr>
        <w:t>longitudinal heterogeneity</w:t>
      </w:r>
      <w:r w:rsidRPr="00D26236">
        <w:rPr>
          <w:i/>
        </w:rPr>
        <w:t>?</w:t>
      </w:r>
    </w:p>
    <w:p w14:paraId="3D1B8192" w14:textId="711D7FB3" w:rsidR="00400E63" w:rsidRDefault="009963CB" w:rsidP="009963CB">
      <w:r w:rsidRPr="00D26236">
        <w:rPr>
          <w:b/>
        </w:rPr>
        <w:t xml:space="preserve">Hypothesis </w:t>
      </w:r>
      <w:r>
        <w:rPr>
          <w:b/>
        </w:rPr>
        <w:t>2</w:t>
      </w:r>
      <w:r w:rsidRPr="00D26236">
        <w:rPr>
          <w:b/>
        </w:rPr>
        <w:t>:</w:t>
      </w:r>
      <w:r>
        <w:t xml:space="preserve"> I hypothesize that increases in flow will increase spatial heterogeneity in both reservoirs</w:t>
      </w:r>
      <w:r w:rsidR="002C487C">
        <w:t xml:space="preserve"> (Figure 4)</w:t>
      </w:r>
      <w:r>
        <w:t>.</w:t>
      </w:r>
    </w:p>
    <w:p w14:paraId="5AAFD347" w14:textId="7A60A9A3" w:rsidR="009963CB" w:rsidRDefault="00400E63" w:rsidP="00400E63">
      <w:pPr>
        <w:jc w:val="center"/>
      </w:pPr>
      <w:r w:rsidRPr="00400E63">
        <w:drawing>
          <wp:inline distT="0" distB="0" distL="0" distR="0" wp14:anchorId="5B2DF004" wp14:editId="1012FE9C">
            <wp:extent cx="3333750" cy="2930231"/>
            <wp:effectExtent l="0" t="0" r="0" b="3810"/>
            <wp:docPr id="12" name="Picture 11">
              <a:extLst xmlns:a="http://schemas.openxmlformats.org/drawingml/2006/main">
                <a:ext uri="{FF2B5EF4-FFF2-40B4-BE49-F238E27FC236}">
                  <a16:creationId xmlns:a16="http://schemas.microsoft.com/office/drawing/2014/main" id="{70FF3E66-51D1-45E0-BBC4-93C23916B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0FF3E66-51D1-45E0-BBC4-93C23916BCBF}"/>
                        </a:ext>
                      </a:extLst>
                    </pic:cNvPr>
                    <pic:cNvPicPr>
                      <a:picLocks noChangeAspect="1"/>
                    </pic:cNvPicPr>
                  </pic:nvPicPr>
                  <pic:blipFill>
                    <a:blip r:embed="rId13"/>
                    <a:stretch>
                      <a:fillRect/>
                    </a:stretch>
                  </pic:blipFill>
                  <pic:spPr>
                    <a:xfrm>
                      <a:off x="0" y="0"/>
                      <a:ext cx="3358313" cy="2951821"/>
                    </a:xfrm>
                    <a:prstGeom prst="rect">
                      <a:avLst/>
                    </a:prstGeom>
                  </pic:spPr>
                </pic:pic>
              </a:graphicData>
            </a:graphic>
          </wp:inline>
        </w:drawing>
      </w:r>
    </w:p>
    <w:p w14:paraId="7B6994E2" w14:textId="77777777" w:rsidR="00104835" w:rsidRDefault="00104835" w:rsidP="009963CB">
      <w:pPr>
        <w:rPr>
          <w:b/>
          <w:i/>
        </w:rPr>
      </w:pPr>
    </w:p>
    <w:p w14:paraId="33C3A184" w14:textId="77777777" w:rsidR="00104835" w:rsidRDefault="00104835" w:rsidP="009963CB">
      <w:pPr>
        <w:rPr>
          <w:b/>
          <w:i/>
        </w:rPr>
      </w:pPr>
    </w:p>
    <w:p w14:paraId="7D8D987F" w14:textId="77777777" w:rsidR="00104835" w:rsidRDefault="00104835" w:rsidP="009963CB">
      <w:pPr>
        <w:rPr>
          <w:b/>
          <w:i/>
        </w:rPr>
      </w:pPr>
    </w:p>
    <w:p w14:paraId="2649423B" w14:textId="73181293" w:rsidR="009963CB" w:rsidRPr="00D073FB" w:rsidRDefault="009963CB" w:rsidP="009963CB">
      <w:pPr>
        <w:rPr>
          <w:i/>
        </w:rPr>
      </w:pPr>
      <w:r w:rsidRPr="00D073FB">
        <w:rPr>
          <w:b/>
          <w:i/>
        </w:rPr>
        <w:lastRenderedPageBreak/>
        <w:t xml:space="preserve">Question </w:t>
      </w:r>
      <w:r>
        <w:rPr>
          <w:b/>
          <w:i/>
        </w:rPr>
        <w:t>3</w:t>
      </w:r>
      <w:r w:rsidRPr="00D073FB">
        <w:rPr>
          <w:i/>
        </w:rPr>
        <w:t xml:space="preserve">: Does the presence of an upstream reservoir influence </w:t>
      </w:r>
      <w:r>
        <w:rPr>
          <w:i/>
        </w:rPr>
        <w:t xml:space="preserve">the relative concentration of phytoplankton in </w:t>
      </w:r>
      <w:r w:rsidRPr="00D073FB">
        <w:rPr>
          <w:i/>
        </w:rPr>
        <w:t>a</w:t>
      </w:r>
      <w:r>
        <w:rPr>
          <w:i/>
        </w:rPr>
        <w:t xml:space="preserve"> </w:t>
      </w:r>
      <w:r w:rsidRPr="00D073FB">
        <w:rPr>
          <w:i/>
        </w:rPr>
        <w:t>downstream reservoir?</w:t>
      </w:r>
    </w:p>
    <w:p w14:paraId="637E9970" w14:textId="13516824" w:rsidR="009963CB" w:rsidRDefault="009963CB" w:rsidP="009963CB">
      <w:r w:rsidRPr="00D26236">
        <w:rPr>
          <w:b/>
        </w:rPr>
        <w:t xml:space="preserve">Hypothesis </w:t>
      </w:r>
      <w:r>
        <w:rPr>
          <w:b/>
        </w:rPr>
        <w:t>3</w:t>
      </w:r>
      <w:r>
        <w:t xml:space="preserve">: I hypothesize that </w:t>
      </w:r>
      <w:r w:rsidR="00104835">
        <w:t xml:space="preserve">the relative concentration of nitrogen will increase with reservoir chain number, and </w:t>
      </w:r>
      <w:r w:rsidR="002C487C">
        <w:t>the relative concentrations</w:t>
      </w:r>
      <w:r>
        <w:t xml:space="preserve"> of phosphorus and chlorophyll-a </w:t>
      </w:r>
      <w:r w:rsidR="00104835">
        <w:t>will decrease with reservoir chain number (Figure 5)</w:t>
      </w:r>
      <w:r>
        <w:t xml:space="preserve">. </w:t>
      </w:r>
    </w:p>
    <w:p w14:paraId="65E726C4" w14:textId="6C74D4BF" w:rsidR="00400E63" w:rsidRPr="00B54D8A" w:rsidRDefault="00104835" w:rsidP="00B54D8A">
      <w:pPr>
        <w:jc w:val="center"/>
      </w:pPr>
      <w:r w:rsidRPr="00104835">
        <w:drawing>
          <wp:inline distT="0" distB="0" distL="0" distR="0" wp14:anchorId="75B490D8" wp14:editId="0F7D54F6">
            <wp:extent cx="5207000" cy="3054662"/>
            <wp:effectExtent l="0" t="0" r="0" b="0"/>
            <wp:docPr id="53" name="Picture 52">
              <a:extLst xmlns:a="http://schemas.openxmlformats.org/drawingml/2006/main">
                <a:ext uri="{FF2B5EF4-FFF2-40B4-BE49-F238E27FC236}">
                  <a16:creationId xmlns:a16="http://schemas.microsoft.com/office/drawing/2014/main" id="{09877D8E-9CC7-4D96-A101-7EE995B85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09877D8E-9CC7-4D96-A101-7EE995B85064}"/>
                        </a:ext>
                      </a:extLst>
                    </pic:cNvPr>
                    <pic:cNvPicPr>
                      <a:picLocks noChangeAspect="1"/>
                    </pic:cNvPicPr>
                  </pic:nvPicPr>
                  <pic:blipFill>
                    <a:blip r:embed="rId14"/>
                    <a:stretch>
                      <a:fillRect/>
                    </a:stretch>
                  </pic:blipFill>
                  <pic:spPr>
                    <a:xfrm>
                      <a:off x="0" y="0"/>
                      <a:ext cx="5217363" cy="3060742"/>
                    </a:xfrm>
                    <a:prstGeom prst="rect">
                      <a:avLst/>
                    </a:prstGeom>
                  </pic:spPr>
                </pic:pic>
              </a:graphicData>
            </a:graphic>
          </wp:inline>
        </w:drawing>
      </w:r>
    </w:p>
    <w:p w14:paraId="42155AC7" w14:textId="77777777" w:rsidR="00400E63" w:rsidRDefault="00400E63" w:rsidP="009963CB">
      <w:pPr>
        <w:rPr>
          <w:rFonts w:asciiTheme="majorHAnsi" w:hAnsiTheme="majorHAnsi" w:cstheme="majorHAnsi"/>
          <w:b/>
        </w:rPr>
      </w:pPr>
    </w:p>
    <w:p w14:paraId="1A7F42DC" w14:textId="6FC70B9C" w:rsidR="009963CB" w:rsidRPr="00191BF5" w:rsidRDefault="009963CB" w:rsidP="009963CB">
      <w:pPr>
        <w:rPr>
          <w:rFonts w:asciiTheme="majorHAnsi" w:hAnsiTheme="majorHAnsi" w:cstheme="majorHAnsi"/>
          <w:b/>
        </w:rPr>
      </w:pPr>
      <w:r w:rsidRPr="00191BF5">
        <w:rPr>
          <w:rFonts w:asciiTheme="majorHAnsi" w:hAnsiTheme="majorHAnsi" w:cstheme="majorHAnsi"/>
          <w:b/>
        </w:rPr>
        <w:t>Methods</w:t>
      </w:r>
    </w:p>
    <w:p w14:paraId="1F34B3B6" w14:textId="77777777" w:rsidR="009963CB" w:rsidRPr="00D26236" w:rsidRDefault="009963CB" w:rsidP="009963CB">
      <w:pPr>
        <w:rPr>
          <w:rFonts w:asciiTheme="majorHAnsi" w:hAnsiTheme="majorHAnsi" w:cstheme="majorHAnsi"/>
          <w:i/>
        </w:rPr>
      </w:pPr>
      <w:r w:rsidRPr="00D26236">
        <w:rPr>
          <w:rFonts w:asciiTheme="majorHAnsi" w:hAnsiTheme="majorHAnsi" w:cstheme="majorHAnsi"/>
          <w:i/>
        </w:rPr>
        <w:t>Study site</w:t>
      </w:r>
    </w:p>
    <w:p w14:paraId="43DF1306" w14:textId="7D2A11CD" w:rsidR="009963CB" w:rsidRPr="00D26236" w:rsidRDefault="009963CB" w:rsidP="009963CB">
      <w:pPr>
        <w:rPr>
          <w:rFonts w:asciiTheme="majorHAnsi" w:hAnsiTheme="majorHAnsi" w:cstheme="majorHAnsi"/>
        </w:rPr>
      </w:pPr>
      <w:r w:rsidRPr="00D26236">
        <w:rPr>
          <w:rFonts w:asciiTheme="majorHAnsi" w:hAnsiTheme="majorHAnsi" w:cstheme="majorHAnsi"/>
        </w:rPr>
        <w:t>Beaverdam Reservoir (BVR) is a small (39 ha), shallow (maximum depth &lt; 13m), dimictic reservoir owned and operated by the Western Virginia Water Authority (WVWA) and located in Vinton, VA. BVR has multiple inflow stream</w:t>
      </w:r>
      <w:r w:rsidR="00B54D8A">
        <w:rPr>
          <w:rFonts w:asciiTheme="majorHAnsi" w:hAnsiTheme="majorHAnsi" w:cstheme="majorHAnsi"/>
        </w:rPr>
        <w:t>s</w:t>
      </w:r>
      <w:r w:rsidRPr="00D26236">
        <w:rPr>
          <w:rFonts w:asciiTheme="majorHAnsi" w:hAnsiTheme="majorHAnsi" w:cstheme="majorHAnsi"/>
        </w:rPr>
        <w:t>, but we have selected</w:t>
      </w:r>
      <w:r w:rsidR="00B54D8A">
        <w:rPr>
          <w:rFonts w:asciiTheme="majorHAnsi" w:hAnsiTheme="majorHAnsi" w:cstheme="majorHAnsi"/>
        </w:rPr>
        <w:t xml:space="preserve"> the major inflow in the western and the eastern arms for this study (Figure 1, above).</w:t>
      </w:r>
      <w:r w:rsidRPr="00D26236">
        <w:rPr>
          <w:rFonts w:asciiTheme="majorHAnsi" w:hAnsiTheme="majorHAnsi" w:cstheme="majorHAnsi"/>
        </w:rPr>
        <w:t xml:space="preserve"> BVR has an outflow pipe that flows to Falling Creek Reservoir (FCR), a smaller (), shallower (), dimictic reservoir, also owned and operated by WVWA. </w:t>
      </w:r>
    </w:p>
    <w:p w14:paraId="5FE9B913" w14:textId="77777777" w:rsidR="009963CB" w:rsidRPr="007C6758" w:rsidRDefault="009963CB" w:rsidP="009963CB">
      <w:pPr>
        <w:rPr>
          <w:rFonts w:asciiTheme="majorHAnsi" w:hAnsiTheme="majorHAnsi" w:cstheme="majorHAnsi"/>
          <w:i/>
        </w:rPr>
      </w:pPr>
      <w:r w:rsidRPr="007C6758">
        <w:rPr>
          <w:rFonts w:asciiTheme="majorHAnsi" w:hAnsiTheme="majorHAnsi" w:cstheme="majorHAnsi"/>
          <w:i/>
        </w:rPr>
        <w:t>Field sampling, summer 2019</w:t>
      </w:r>
    </w:p>
    <w:p w14:paraId="4596A8FD" w14:textId="3412F65D" w:rsidR="00B54D8A" w:rsidRDefault="00B54D8A" w:rsidP="00B54D8A">
      <w:pPr>
        <w:rPr>
          <w:rFonts w:asciiTheme="majorHAnsi" w:hAnsiTheme="majorHAnsi" w:cstheme="majorHAnsi"/>
        </w:rPr>
      </w:pPr>
      <w:r>
        <w:rPr>
          <w:rFonts w:asciiTheme="majorHAnsi" w:hAnsiTheme="majorHAnsi" w:cstheme="majorHAnsi"/>
        </w:rPr>
        <w:t xml:space="preserve">We intend to sample once per month from May to September to capture a gradient in seasonal conditions. Additionally, we will add adaptive sampling events to capture a gradient of hydrologic flow conditions (n = ~8). </w:t>
      </w:r>
    </w:p>
    <w:p w14:paraId="2A9C1073" w14:textId="1B3B1B65" w:rsidR="009963CB" w:rsidRPr="00B54D8A" w:rsidRDefault="009963CB" w:rsidP="00B54D8A">
      <w:pPr>
        <w:pStyle w:val="ListParagraph"/>
        <w:numPr>
          <w:ilvl w:val="0"/>
          <w:numId w:val="8"/>
        </w:numPr>
        <w:rPr>
          <w:rFonts w:asciiTheme="majorHAnsi" w:hAnsiTheme="majorHAnsi" w:cstheme="majorHAnsi"/>
        </w:rPr>
      </w:pPr>
      <w:commentRangeStart w:id="6"/>
      <w:r w:rsidRPr="00B54D8A">
        <w:rPr>
          <w:rFonts w:asciiTheme="majorHAnsi" w:hAnsiTheme="majorHAnsi" w:cstheme="majorHAnsi"/>
        </w:rPr>
        <w:t>Sites</w:t>
      </w:r>
      <w:commentRangeEnd w:id="6"/>
      <w:r w:rsidR="00B54D8A">
        <w:rPr>
          <w:rStyle w:val="CommentReference"/>
        </w:rPr>
        <w:commentReference w:id="6"/>
      </w:r>
    </w:p>
    <w:p w14:paraId="402FE791" w14:textId="255F8F42" w:rsidR="009963CB" w:rsidRDefault="00B54D8A" w:rsidP="00B54D8A">
      <w:pPr>
        <w:pStyle w:val="ListParagraph"/>
        <w:numPr>
          <w:ilvl w:val="1"/>
          <w:numId w:val="12"/>
        </w:numPr>
        <w:rPr>
          <w:rFonts w:asciiTheme="majorHAnsi" w:hAnsiTheme="majorHAnsi" w:cstheme="majorHAnsi"/>
        </w:rPr>
      </w:pPr>
      <w:r>
        <w:rPr>
          <w:rFonts w:asciiTheme="majorHAnsi" w:hAnsiTheme="majorHAnsi" w:cstheme="majorHAnsi"/>
        </w:rPr>
        <w:t>The major stream inflow to the western and eastern arms of BVR (n = 2)</w:t>
      </w:r>
    </w:p>
    <w:p w14:paraId="08D36CB6" w14:textId="77777777" w:rsidR="009963CB" w:rsidRPr="00D26236"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4 sites within BVR to capture a gradient of riverine, transitional, and lacustrine conditions, as well as the outflow pipe to FCR</w:t>
      </w:r>
    </w:p>
    <w:p w14:paraId="31FE3D16"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 xml:space="preserve">4 sites along </w:t>
      </w:r>
      <w:commentRangeStart w:id="7"/>
      <w:r>
        <w:rPr>
          <w:rFonts w:asciiTheme="majorHAnsi" w:hAnsiTheme="majorHAnsi" w:cstheme="majorHAnsi"/>
        </w:rPr>
        <w:t>BVR-FCR inflow</w:t>
      </w:r>
      <w:commentRangeEnd w:id="7"/>
      <w:r>
        <w:rPr>
          <w:rStyle w:val="CommentReference"/>
        </w:rPr>
        <w:commentReference w:id="7"/>
      </w:r>
      <w:r>
        <w:rPr>
          <w:rFonts w:asciiTheme="majorHAnsi" w:hAnsiTheme="majorHAnsi" w:cstheme="majorHAnsi"/>
        </w:rPr>
        <w:t xml:space="preserve"> stream</w:t>
      </w:r>
    </w:p>
    <w:p w14:paraId="017A4CF6"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5 sites within FCR to capture a gradient of riverine, transitional, and lacustrine conditions</w:t>
      </w:r>
    </w:p>
    <w:p w14:paraId="4BE73649" w14:textId="77777777" w:rsidR="009963CB"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lastRenderedPageBreak/>
        <w:t>FCR outflow</w:t>
      </w:r>
    </w:p>
    <w:p w14:paraId="001A5BDA" w14:textId="77777777" w:rsidR="009963CB" w:rsidRPr="00191BF5" w:rsidRDefault="009963CB" w:rsidP="00B54D8A">
      <w:pPr>
        <w:pStyle w:val="ListParagraph"/>
        <w:numPr>
          <w:ilvl w:val="0"/>
          <w:numId w:val="12"/>
        </w:numPr>
        <w:rPr>
          <w:rFonts w:asciiTheme="majorHAnsi" w:hAnsiTheme="majorHAnsi" w:cstheme="majorHAnsi"/>
        </w:rPr>
      </w:pPr>
      <w:r>
        <w:rPr>
          <w:rFonts w:asciiTheme="majorHAnsi" w:hAnsiTheme="majorHAnsi" w:cstheme="majorHAnsi"/>
        </w:rPr>
        <w:t>Data collection</w:t>
      </w:r>
    </w:p>
    <w:p w14:paraId="0E426429" w14:textId="77777777" w:rsidR="009963CB" w:rsidRPr="00191BF5"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Nutrient chemistry (total and soluble nitrogen</w:t>
      </w:r>
      <w:r>
        <w:rPr>
          <w:rFonts w:asciiTheme="majorHAnsi" w:hAnsiTheme="majorHAnsi" w:cstheme="majorHAnsi"/>
        </w:rPr>
        <w:t xml:space="preserve"> &amp;</w:t>
      </w:r>
      <w:r w:rsidRPr="00191BF5">
        <w:rPr>
          <w:rFonts w:asciiTheme="majorHAnsi" w:hAnsiTheme="majorHAnsi" w:cstheme="majorHAnsi"/>
        </w:rPr>
        <w:t xml:space="preserve"> phosphorus)</w:t>
      </w:r>
    </w:p>
    <w:p w14:paraId="24092196" w14:textId="77777777" w:rsidR="009963CB" w:rsidRPr="00191BF5"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Discharge</w:t>
      </w:r>
      <w:r>
        <w:rPr>
          <w:rFonts w:asciiTheme="majorHAnsi" w:hAnsiTheme="majorHAnsi" w:cstheme="majorHAnsi"/>
        </w:rPr>
        <w:t xml:space="preserve"> at stream sites</w:t>
      </w:r>
      <w:r w:rsidRPr="00191BF5">
        <w:rPr>
          <w:rFonts w:asciiTheme="majorHAnsi" w:hAnsiTheme="majorHAnsi" w:cstheme="majorHAnsi"/>
        </w:rPr>
        <w:t xml:space="preserve"> (using a flowmeter)</w:t>
      </w:r>
    </w:p>
    <w:p w14:paraId="0D5A2B2D" w14:textId="77777777" w:rsidR="009963CB" w:rsidRDefault="009963CB" w:rsidP="00B54D8A">
      <w:pPr>
        <w:pStyle w:val="ListParagraph"/>
        <w:numPr>
          <w:ilvl w:val="1"/>
          <w:numId w:val="12"/>
        </w:numPr>
        <w:rPr>
          <w:rFonts w:asciiTheme="majorHAnsi" w:hAnsiTheme="majorHAnsi" w:cstheme="majorHAnsi"/>
        </w:rPr>
      </w:pPr>
      <w:r w:rsidRPr="00191BF5">
        <w:rPr>
          <w:rFonts w:asciiTheme="majorHAnsi" w:hAnsiTheme="majorHAnsi" w:cstheme="majorHAnsi"/>
        </w:rPr>
        <w:t>Physical characteristics</w:t>
      </w:r>
      <w:r>
        <w:rPr>
          <w:rFonts w:asciiTheme="majorHAnsi" w:hAnsiTheme="majorHAnsi" w:cstheme="majorHAnsi"/>
        </w:rPr>
        <w:t xml:space="preserve"> from YSI</w:t>
      </w:r>
      <w:r w:rsidRPr="00191BF5">
        <w:rPr>
          <w:rFonts w:asciiTheme="majorHAnsi" w:hAnsiTheme="majorHAnsi" w:cstheme="majorHAnsi"/>
        </w:rPr>
        <w:t xml:space="preserve"> (dissolved oxygen, conductivity, temperature)</w:t>
      </w:r>
    </w:p>
    <w:p w14:paraId="5737256D" w14:textId="77777777" w:rsidR="009963CB" w:rsidRPr="00191BF5" w:rsidRDefault="009963CB" w:rsidP="00B54D8A">
      <w:pPr>
        <w:pStyle w:val="ListParagraph"/>
        <w:numPr>
          <w:ilvl w:val="1"/>
          <w:numId w:val="12"/>
        </w:numPr>
        <w:rPr>
          <w:rFonts w:asciiTheme="majorHAnsi" w:hAnsiTheme="majorHAnsi" w:cstheme="majorHAnsi"/>
        </w:rPr>
      </w:pPr>
      <w:r>
        <w:rPr>
          <w:rFonts w:asciiTheme="majorHAnsi" w:hAnsiTheme="majorHAnsi" w:cstheme="majorHAnsi"/>
        </w:rPr>
        <w:t>Chlorophyll-a</w:t>
      </w:r>
    </w:p>
    <w:p w14:paraId="79A3BCC2" w14:textId="77777777" w:rsidR="009963CB" w:rsidRDefault="009963CB" w:rsidP="00B54D8A">
      <w:pPr>
        <w:pStyle w:val="ListParagraph"/>
        <w:numPr>
          <w:ilvl w:val="0"/>
          <w:numId w:val="12"/>
        </w:numPr>
        <w:rPr>
          <w:rFonts w:asciiTheme="majorHAnsi" w:hAnsiTheme="majorHAnsi" w:cstheme="majorHAnsi"/>
        </w:rPr>
      </w:pPr>
      <w:r>
        <w:rPr>
          <w:rFonts w:asciiTheme="majorHAnsi" w:hAnsiTheme="majorHAnsi" w:cstheme="majorHAnsi"/>
        </w:rPr>
        <w:t>Sampling frequency</w:t>
      </w:r>
    </w:p>
    <w:p w14:paraId="06C88755" w14:textId="77777777" w:rsidR="009963CB" w:rsidRPr="007C6758" w:rsidRDefault="009963CB" w:rsidP="009963CB">
      <w:pPr>
        <w:rPr>
          <w:rFonts w:asciiTheme="majorHAnsi" w:hAnsiTheme="majorHAnsi" w:cstheme="majorHAnsi"/>
          <w:i/>
        </w:rPr>
      </w:pPr>
      <w:r w:rsidRPr="007C6758">
        <w:rPr>
          <w:rFonts w:asciiTheme="majorHAnsi" w:hAnsiTheme="majorHAnsi" w:cstheme="majorHAnsi"/>
          <w:i/>
        </w:rPr>
        <w:t>Data analysis</w:t>
      </w:r>
    </w:p>
    <w:p w14:paraId="55FC6D91" w14:textId="77777777" w:rsidR="009963CB" w:rsidRDefault="009963CB" w:rsidP="009963CB">
      <w:pPr>
        <w:pStyle w:val="ListParagraph"/>
        <w:numPr>
          <w:ilvl w:val="1"/>
          <w:numId w:val="13"/>
        </w:numPr>
        <w:rPr>
          <w:rFonts w:asciiTheme="majorHAnsi" w:hAnsiTheme="majorHAnsi" w:cstheme="majorHAnsi"/>
        </w:rPr>
      </w:pPr>
      <w:r>
        <w:rPr>
          <w:rFonts w:asciiTheme="majorHAnsi" w:hAnsiTheme="majorHAnsi" w:cstheme="majorHAnsi"/>
        </w:rPr>
        <w:t xml:space="preserve">Correlation analysis to determine level of synchrony </w:t>
      </w:r>
      <w:commentRangeStart w:id="8"/>
      <w:r>
        <w:rPr>
          <w:rFonts w:asciiTheme="majorHAnsi" w:hAnsiTheme="majorHAnsi" w:cstheme="majorHAnsi"/>
        </w:rPr>
        <w:t>between FCR and BVR</w:t>
      </w:r>
      <w:commentRangeEnd w:id="8"/>
      <w:r>
        <w:rPr>
          <w:rStyle w:val="CommentReference"/>
        </w:rPr>
        <w:commentReference w:id="8"/>
      </w:r>
    </w:p>
    <w:p w14:paraId="50043B87" w14:textId="77777777" w:rsidR="009963CB" w:rsidRPr="0094434B" w:rsidRDefault="009963CB" w:rsidP="009963CB">
      <w:pPr>
        <w:pStyle w:val="ListParagraph"/>
        <w:numPr>
          <w:ilvl w:val="1"/>
          <w:numId w:val="13"/>
        </w:numPr>
        <w:rPr>
          <w:rFonts w:asciiTheme="majorHAnsi" w:hAnsiTheme="majorHAnsi" w:cstheme="majorHAnsi"/>
        </w:rPr>
      </w:pPr>
      <w:r w:rsidRPr="0094434B">
        <w:rPr>
          <w:rFonts w:asciiTheme="majorHAnsi" w:hAnsiTheme="majorHAnsi" w:cstheme="majorHAnsi"/>
        </w:rPr>
        <w:t>Generalized linear models to analyze drivers of nutrient and phytoplankton dynamics along a stream-reservoir gradien</w:t>
      </w:r>
      <w:r>
        <w:rPr>
          <w:rFonts w:asciiTheme="majorHAnsi" w:hAnsiTheme="majorHAnsi" w:cstheme="majorHAnsi"/>
        </w:rPr>
        <w:t>t</w:t>
      </w:r>
    </w:p>
    <w:p w14:paraId="4D6C7A71" w14:textId="77777777" w:rsidR="009963CB" w:rsidRDefault="009963CB" w:rsidP="009963CB"/>
    <w:p w14:paraId="55A21711" w14:textId="77777777" w:rsidR="009963CB" w:rsidRDefault="009963CB" w:rsidP="009963CB"/>
    <w:p w14:paraId="465BD518" w14:textId="77777777" w:rsidR="009963CB" w:rsidRDefault="009963CB" w:rsidP="009963CB">
      <w:bookmarkStart w:id="9" w:name="_GoBack"/>
      <w:bookmarkEnd w:id="9"/>
      <w:r>
        <w:t>CITATIONS (Incomplete)</w:t>
      </w:r>
    </w:p>
    <w:p w14:paraId="4C0AE577" w14:textId="77777777" w:rsidR="009963CB" w:rsidRDefault="009963CB" w:rsidP="009963CB"/>
    <w:p w14:paraId="5911E7B6" w14:textId="77777777" w:rsidR="009963CB" w:rsidRDefault="009963CB" w:rsidP="009963CB">
      <w:r w:rsidRPr="00D073FB">
        <w:t>Thornton, K. W., B. L. Kimmel &amp; F. E. Payne (eds), 1990. Reservoir limnology: ecological perspectives. Wiley, New York.</w:t>
      </w:r>
    </w:p>
    <w:p w14:paraId="2B336056" w14:textId="77777777" w:rsidR="00C40407" w:rsidRDefault="00C40407" w:rsidP="005D30B3">
      <w:pPr>
        <w:rPr>
          <w:rFonts w:asciiTheme="majorHAnsi" w:hAnsiTheme="majorHAnsi" w:cstheme="majorHAnsi"/>
        </w:rPr>
      </w:pPr>
    </w:p>
    <w:p w14:paraId="6D039AFB" w14:textId="77777777" w:rsidR="005D30B3" w:rsidRPr="005D30B3" w:rsidRDefault="005D30B3" w:rsidP="005D30B3">
      <w:pPr>
        <w:rPr>
          <w:rFonts w:asciiTheme="majorHAnsi" w:hAnsiTheme="majorHAnsi" w:cstheme="majorHAnsi"/>
        </w:rPr>
      </w:pPr>
    </w:p>
    <w:sectPr w:rsidR="005D30B3" w:rsidRPr="005D30B3">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yelan C. Carey" w:date="2019-03-20T12:07:00Z" w:initials="CCC">
    <w:p w14:paraId="6A740195" w14:textId="77777777" w:rsidR="00AD1D50" w:rsidRDefault="00AD1D50">
      <w:pPr>
        <w:pStyle w:val="CommentText"/>
      </w:pPr>
      <w:r>
        <w:rPr>
          <w:rStyle w:val="CommentReference"/>
        </w:rPr>
        <w:annotationRef/>
      </w:r>
      <w:r>
        <w:t>I would highlight how these stressors result in rapid changes, necessitating the need for iterative forecasting and repeated sampling to catch changes</w:t>
      </w:r>
    </w:p>
    <w:p w14:paraId="7F6D9F0C" w14:textId="77777777" w:rsidR="00AD1D50" w:rsidRDefault="00AD1D50">
      <w:pPr>
        <w:pStyle w:val="CommentText"/>
      </w:pPr>
    </w:p>
    <w:p w14:paraId="2B7B7B1C" w14:textId="77777777" w:rsidR="00AD1D50" w:rsidRDefault="00AD1D50">
      <w:pPr>
        <w:pStyle w:val="CommentText"/>
      </w:pPr>
      <w:r>
        <w:t>Maybe set up how the threats alter algal blooms/</w:t>
      </w:r>
      <w:proofErr w:type="spellStart"/>
      <w:r>
        <w:t>phyto</w:t>
      </w:r>
      <w:proofErr w:type="spellEnd"/>
      <w:r>
        <w:t xml:space="preserve"> dynamics, and what their implications are, which really tie together </w:t>
      </w:r>
      <w:proofErr w:type="spellStart"/>
      <w:r>
        <w:t>ch</w:t>
      </w:r>
      <w:proofErr w:type="spellEnd"/>
      <w:r>
        <w:t xml:space="preserve"> 1 &amp; 2?</w:t>
      </w:r>
    </w:p>
  </w:comment>
  <w:comment w:id="1" w:author="Whitney Woelmer" w:date="2019-03-25T08:26:00Z" w:initials="WW">
    <w:p w14:paraId="2F0A4700" w14:textId="4822E93B" w:rsidR="00DA227F" w:rsidRDefault="00DA227F">
      <w:pPr>
        <w:pStyle w:val="CommentText"/>
      </w:pPr>
      <w:r>
        <w:rPr>
          <w:rStyle w:val="CommentReference"/>
        </w:rPr>
        <w:annotationRef/>
      </w:r>
      <w:r>
        <w:t>Site EDI?</w:t>
      </w:r>
    </w:p>
  </w:comment>
  <w:comment w:id="2" w:author="Whitney Woelmer" w:date="2019-03-18T21:35:00Z" w:initials="WW">
    <w:p w14:paraId="7CE09B27" w14:textId="77777777" w:rsidR="00AD1D50" w:rsidRDefault="00AD1D50">
      <w:pPr>
        <w:pStyle w:val="CommentText"/>
      </w:pPr>
      <w:r>
        <w:rPr>
          <w:rStyle w:val="CommentReference"/>
        </w:rPr>
        <w:annotationRef/>
      </w:r>
      <w:r>
        <w:t>Need to get some text from Nicole</w:t>
      </w:r>
    </w:p>
  </w:comment>
  <w:comment w:id="3" w:author="Whitney Woelmer" w:date="2019-03-18T21:07:00Z" w:initials="WW">
    <w:p w14:paraId="0474B800" w14:textId="77777777" w:rsidR="00AD1D50" w:rsidRDefault="00AD1D50">
      <w:pPr>
        <w:pStyle w:val="CommentText"/>
      </w:pPr>
      <w:r>
        <w:rPr>
          <w:rStyle w:val="CommentReference"/>
        </w:rPr>
        <w:annotationRef/>
      </w:r>
      <w:r>
        <w:t xml:space="preserve">Will re-run this and calculate all other model assessment metrics, will have a table associated </w:t>
      </w:r>
    </w:p>
  </w:comment>
  <w:comment w:id="4" w:author="Whitney Woelmer" w:date="2019-03-24T16:49:00Z" w:initials="WW">
    <w:p w14:paraId="2A7605DE" w14:textId="77777777" w:rsidR="009963CB" w:rsidRDefault="009963CB" w:rsidP="009963CB">
      <w:pPr>
        <w:pStyle w:val="CommentText"/>
      </w:pPr>
      <w:r>
        <w:rPr>
          <w:rStyle w:val="CommentReference"/>
        </w:rPr>
        <w:annotationRef/>
      </w:r>
      <w:r>
        <w:t>A hypothesized driver of variability in spatial heterogeneity between reservoirs under similar conditions</w:t>
      </w:r>
    </w:p>
  </w:comment>
  <w:comment w:id="5" w:author="Whitney Woelmer" w:date="2019-03-24T22:37:00Z" w:initials="WW">
    <w:p w14:paraId="0CCBED8B" w14:textId="77777777" w:rsidR="009963CB" w:rsidRDefault="009963CB" w:rsidP="009963CB">
      <w:pPr>
        <w:pStyle w:val="CommentText"/>
      </w:pPr>
      <w:r>
        <w:rPr>
          <w:rStyle w:val="CommentReference"/>
        </w:rPr>
        <w:annotationRef/>
      </w:r>
      <w:r>
        <w:t xml:space="preserve">I’m not addressing spatial heterogeneity within the stream right now. For the sake of organizing the ideas that I thought were necessary to present a coherent prospectus, I dropped that idea but would like to explore it further in the mean time </w:t>
      </w:r>
    </w:p>
  </w:comment>
  <w:comment w:id="6" w:author="Whitney Woelmer" w:date="2019-03-25T10:47:00Z" w:initials="WW">
    <w:p w14:paraId="56821E2F" w14:textId="07AE186A" w:rsidR="00B54D8A" w:rsidRDefault="00B54D8A">
      <w:pPr>
        <w:pStyle w:val="CommentText"/>
      </w:pPr>
      <w:r>
        <w:rPr>
          <w:rStyle w:val="CommentReference"/>
        </w:rPr>
        <w:annotationRef/>
      </w:r>
      <w:r>
        <w:t>Will add a map with stars for site locations</w:t>
      </w:r>
    </w:p>
  </w:comment>
  <w:comment w:id="7" w:author="Whitney Woelmer" w:date="2019-03-24T12:18:00Z" w:initials="WW">
    <w:p w14:paraId="0664A373" w14:textId="77777777" w:rsidR="009963CB" w:rsidRDefault="009963CB" w:rsidP="009963CB">
      <w:pPr>
        <w:pStyle w:val="CommentText"/>
      </w:pPr>
      <w:r>
        <w:rPr>
          <w:rStyle w:val="CommentReference"/>
        </w:rPr>
        <w:annotationRef/>
      </w:r>
      <w:r>
        <w:t>High-frequency spatial monitoring here to understanding watershed inputs vs. BVR inputs</w:t>
      </w:r>
    </w:p>
  </w:comment>
  <w:comment w:id="8" w:author="Whitney Woelmer" w:date="2019-03-24T12:04:00Z" w:initials="WW">
    <w:p w14:paraId="5DDF1DDC" w14:textId="77777777" w:rsidR="009963CB" w:rsidRDefault="009963CB" w:rsidP="009963CB">
      <w:pPr>
        <w:pStyle w:val="CommentText"/>
      </w:pPr>
      <w:r>
        <w:rPr>
          <w:rStyle w:val="CommentReference"/>
        </w:rPr>
        <w:annotationRef/>
      </w:r>
      <w:r>
        <w:t>For this reason, I wonder if it makes more sense to focus only on the left arm of BVR and have a similar # of sites in each to compare riverine, transitional, and lacustrine between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7B7B1C" w15:done="0"/>
  <w15:commentEx w15:paraId="2F0A4700" w15:done="0"/>
  <w15:commentEx w15:paraId="7CE09B27" w15:done="0"/>
  <w15:commentEx w15:paraId="0474B800" w15:done="0"/>
  <w15:commentEx w15:paraId="2A7605DE" w15:done="0"/>
  <w15:commentEx w15:paraId="0CCBED8B" w15:done="0"/>
  <w15:commentEx w15:paraId="56821E2F" w15:done="0"/>
  <w15:commentEx w15:paraId="0664A373" w15:done="0"/>
  <w15:commentEx w15:paraId="5DDF1D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7B7B1C" w16cid:durableId="203CC22B"/>
  <w16cid:commentId w16cid:paraId="2F0A4700" w16cid:durableId="20430F33"/>
  <w16cid:commentId w16cid:paraId="7CE09B27" w16cid:durableId="203CC23B"/>
  <w16cid:commentId w16cid:paraId="0474B800" w16cid:durableId="203CC243"/>
  <w16cid:commentId w16cid:paraId="2A7605DE" w16cid:durableId="2042337E"/>
  <w16cid:commentId w16cid:paraId="0CCBED8B" w16cid:durableId="2042850E"/>
  <w16cid:commentId w16cid:paraId="56821E2F" w16cid:durableId="20433050"/>
  <w16cid:commentId w16cid:paraId="0664A373" w16cid:durableId="2041F42E"/>
  <w16cid:commentId w16cid:paraId="5DDF1DDC" w16cid:durableId="2041F0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A4895" w14:textId="77777777" w:rsidR="001D084C" w:rsidRDefault="001D084C" w:rsidP="00F24871">
      <w:pPr>
        <w:spacing w:after="0" w:line="240" w:lineRule="auto"/>
      </w:pPr>
      <w:r>
        <w:separator/>
      </w:r>
    </w:p>
  </w:endnote>
  <w:endnote w:type="continuationSeparator" w:id="0">
    <w:p w14:paraId="2D68C6ED" w14:textId="77777777" w:rsidR="001D084C" w:rsidRDefault="001D084C"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70C7F5AA" w14:textId="77777777" w:rsidR="00AD1D50" w:rsidRDefault="00AD1D50"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871AB" w14:textId="77777777" w:rsidR="00AD1D50" w:rsidRDefault="00AD1D50"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4BD64B73" w14:textId="77777777" w:rsidR="00AD1D50" w:rsidRDefault="00AD1D50"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196326" w14:textId="77777777" w:rsidR="00AD1D50" w:rsidRDefault="00AD1D50"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36ABE" w14:textId="77777777" w:rsidR="001D084C" w:rsidRDefault="001D084C" w:rsidP="00F24871">
      <w:pPr>
        <w:spacing w:after="0" w:line="240" w:lineRule="auto"/>
      </w:pPr>
      <w:r>
        <w:separator/>
      </w:r>
    </w:p>
  </w:footnote>
  <w:footnote w:type="continuationSeparator" w:id="0">
    <w:p w14:paraId="201F891D" w14:textId="77777777" w:rsidR="001D084C" w:rsidRDefault="001D084C"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26A6E"/>
    <w:rsid w:val="00030F99"/>
    <w:rsid w:val="000318BB"/>
    <w:rsid w:val="000445A9"/>
    <w:rsid w:val="00051494"/>
    <w:rsid w:val="00066B4F"/>
    <w:rsid w:val="0007417B"/>
    <w:rsid w:val="00093A6F"/>
    <w:rsid w:val="000A4920"/>
    <w:rsid w:val="000A6831"/>
    <w:rsid w:val="000A7A45"/>
    <w:rsid w:val="000B31B5"/>
    <w:rsid w:val="000C7294"/>
    <w:rsid w:val="000D2E7B"/>
    <w:rsid w:val="000E1AF5"/>
    <w:rsid w:val="000E2224"/>
    <w:rsid w:val="000E6E72"/>
    <w:rsid w:val="00104835"/>
    <w:rsid w:val="00112372"/>
    <w:rsid w:val="00112652"/>
    <w:rsid w:val="00113103"/>
    <w:rsid w:val="00114590"/>
    <w:rsid w:val="00117E66"/>
    <w:rsid w:val="001238AF"/>
    <w:rsid w:val="00126C24"/>
    <w:rsid w:val="00127385"/>
    <w:rsid w:val="00142E66"/>
    <w:rsid w:val="00142F28"/>
    <w:rsid w:val="001444BD"/>
    <w:rsid w:val="0016750F"/>
    <w:rsid w:val="00167666"/>
    <w:rsid w:val="00180481"/>
    <w:rsid w:val="0018590B"/>
    <w:rsid w:val="00191BF5"/>
    <w:rsid w:val="00194DF2"/>
    <w:rsid w:val="001C2B7C"/>
    <w:rsid w:val="001D084C"/>
    <w:rsid w:val="001D5E83"/>
    <w:rsid w:val="002221A8"/>
    <w:rsid w:val="00223202"/>
    <w:rsid w:val="002408E6"/>
    <w:rsid w:val="00240B11"/>
    <w:rsid w:val="00243779"/>
    <w:rsid w:val="00246BFA"/>
    <w:rsid w:val="00253349"/>
    <w:rsid w:val="00255A95"/>
    <w:rsid w:val="00277E0F"/>
    <w:rsid w:val="00284411"/>
    <w:rsid w:val="002A1449"/>
    <w:rsid w:val="002A2263"/>
    <w:rsid w:val="002B10E7"/>
    <w:rsid w:val="002B1D0A"/>
    <w:rsid w:val="002B7506"/>
    <w:rsid w:val="002C487C"/>
    <w:rsid w:val="002D3409"/>
    <w:rsid w:val="002E1AF6"/>
    <w:rsid w:val="002F12C7"/>
    <w:rsid w:val="0030717F"/>
    <w:rsid w:val="00320827"/>
    <w:rsid w:val="00336D7F"/>
    <w:rsid w:val="00356CA4"/>
    <w:rsid w:val="0036543E"/>
    <w:rsid w:val="003800DF"/>
    <w:rsid w:val="00386172"/>
    <w:rsid w:val="00397952"/>
    <w:rsid w:val="003B6476"/>
    <w:rsid w:val="003C4CA7"/>
    <w:rsid w:val="003D0C30"/>
    <w:rsid w:val="003E1C78"/>
    <w:rsid w:val="003E22BD"/>
    <w:rsid w:val="003F5EE5"/>
    <w:rsid w:val="00400E63"/>
    <w:rsid w:val="00403A5C"/>
    <w:rsid w:val="004230BE"/>
    <w:rsid w:val="0045461B"/>
    <w:rsid w:val="004613B2"/>
    <w:rsid w:val="00462381"/>
    <w:rsid w:val="00483E4E"/>
    <w:rsid w:val="00491707"/>
    <w:rsid w:val="00494C60"/>
    <w:rsid w:val="004A3CB8"/>
    <w:rsid w:val="004C463C"/>
    <w:rsid w:val="004C5A57"/>
    <w:rsid w:val="004D43A9"/>
    <w:rsid w:val="004E371C"/>
    <w:rsid w:val="004F6ED8"/>
    <w:rsid w:val="005058DB"/>
    <w:rsid w:val="00511C21"/>
    <w:rsid w:val="0051720B"/>
    <w:rsid w:val="00524714"/>
    <w:rsid w:val="0053336B"/>
    <w:rsid w:val="00536010"/>
    <w:rsid w:val="005367DC"/>
    <w:rsid w:val="00583EF1"/>
    <w:rsid w:val="00593957"/>
    <w:rsid w:val="005B292A"/>
    <w:rsid w:val="005D085F"/>
    <w:rsid w:val="005D0B43"/>
    <w:rsid w:val="005D30B3"/>
    <w:rsid w:val="005E320C"/>
    <w:rsid w:val="005E62C0"/>
    <w:rsid w:val="005F735D"/>
    <w:rsid w:val="00605F86"/>
    <w:rsid w:val="006102E1"/>
    <w:rsid w:val="00622BC4"/>
    <w:rsid w:val="0063111F"/>
    <w:rsid w:val="00662CC1"/>
    <w:rsid w:val="00667469"/>
    <w:rsid w:val="00691826"/>
    <w:rsid w:val="006A1933"/>
    <w:rsid w:val="006A3761"/>
    <w:rsid w:val="006A5BAA"/>
    <w:rsid w:val="006A5BC9"/>
    <w:rsid w:val="006B06BB"/>
    <w:rsid w:val="006B4AF0"/>
    <w:rsid w:val="006C387A"/>
    <w:rsid w:val="006E40FB"/>
    <w:rsid w:val="006F01B7"/>
    <w:rsid w:val="006F2D2F"/>
    <w:rsid w:val="007203FB"/>
    <w:rsid w:val="00744C7A"/>
    <w:rsid w:val="007548FC"/>
    <w:rsid w:val="00756CD2"/>
    <w:rsid w:val="007877BC"/>
    <w:rsid w:val="007907BF"/>
    <w:rsid w:val="00793A87"/>
    <w:rsid w:val="007948AD"/>
    <w:rsid w:val="007A4C69"/>
    <w:rsid w:val="007B341F"/>
    <w:rsid w:val="007C4409"/>
    <w:rsid w:val="007D0E56"/>
    <w:rsid w:val="007D383C"/>
    <w:rsid w:val="007D510C"/>
    <w:rsid w:val="007D5C7F"/>
    <w:rsid w:val="007E2387"/>
    <w:rsid w:val="007E4196"/>
    <w:rsid w:val="007F6A38"/>
    <w:rsid w:val="007F6DA5"/>
    <w:rsid w:val="00806D35"/>
    <w:rsid w:val="00832834"/>
    <w:rsid w:val="00834C31"/>
    <w:rsid w:val="00856147"/>
    <w:rsid w:val="008572AD"/>
    <w:rsid w:val="00864C7D"/>
    <w:rsid w:val="00876C3A"/>
    <w:rsid w:val="008879A6"/>
    <w:rsid w:val="00892097"/>
    <w:rsid w:val="008A2FA1"/>
    <w:rsid w:val="008A409D"/>
    <w:rsid w:val="008A58D8"/>
    <w:rsid w:val="008D4878"/>
    <w:rsid w:val="008E2132"/>
    <w:rsid w:val="00915BE0"/>
    <w:rsid w:val="00915D94"/>
    <w:rsid w:val="00916A41"/>
    <w:rsid w:val="00927615"/>
    <w:rsid w:val="00931231"/>
    <w:rsid w:val="0094434B"/>
    <w:rsid w:val="00947402"/>
    <w:rsid w:val="0095464C"/>
    <w:rsid w:val="00971EE5"/>
    <w:rsid w:val="00975F1C"/>
    <w:rsid w:val="00992902"/>
    <w:rsid w:val="0099602B"/>
    <w:rsid w:val="009963CB"/>
    <w:rsid w:val="009A24B3"/>
    <w:rsid w:val="009A5DB2"/>
    <w:rsid w:val="009A6FB7"/>
    <w:rsid w:val="009C08D7"/>
    <w:rsid w:val="009C2B8A"/>
    <w:rsid w:val="009C41E3"/>
    <w:rsid w:val="009D35A4"/>
    <w:rsid w:val="009E1152"/>
    <w:rsid w:val="009F3ACF"/>
    <w:rsid w:val="00A04A63"/>
    <w:rsid w:val="00A16EA0"/>
    <w:rsid w:val="00A539DE"/>
    <w:rsid w:val="00A56374"/>
    <w:rsid w:val="00A60B4B"/>
    <w:rsid w:val="00A65A6B"/>
    <w:rsid w:val="00A92EA0"/>
    <w:rsid w:val="00AB40B1"/>
    <w:rsid w:val="00AD1D50"/>
    <w:rsid w:val="00AD77B1"/>
    <w:rsid w:val="00B00AD5"/>
    <w:rsid w:val="00B0705D"/>
    <w:rsid w:val="00B14301"/>
    <w:rsid w:val="00B33F29"/>
    <w:rsid w:val="00B54D8A"/>
    <w:rsid w:val="00B56F1F"/>
    <w:rsid w:val="00B629F5"/>
    <w:rsid w:val="00B62AB0"/>
    <w:rsid w:val="00B67703"/>
    <w:rsid w:val="00B67A29"/>
    <w:rsid w:val="00B72463"/>
    <w:rsid w:val="00B753B5"/>
    <w:rsid w:val="00B8482B"/>
    <w:rsid w:val="00B85A3A"/>
    <w:rsid w:val="00B900BF"/>
    <w:rsid w:val="00B96D4C"/>
    <w:rsid w:val="00BA5D71"/>
    <w:rsid w:val="00BB073C"/>
    <w:rsid w:val="00BB1F77"/>
    <w:rsid w:val="00BB3FD1"/>
    <w:rsid w:val="00BB7FA6"/>
    <w:rsid w:val="00BD2144"/>
    <w:rsid w:val="00BE0607"/>
    <w:rsid w:val="00C02B45"/>
    <w:rsid w:val="00C2013C"/>
    <w:rsid w:val="00C22121"/>
    <w:rsid w:val="00C40407"/>
    <w:rsid w:val="00C44557"/>
    <w:rsid w:val="00C4455B"/>
    <w:rsid w:val="00C549FA"/>
    <w:rsid w:val="00C60F59"/>
    <w:rsid w:val="00C65ED5"/>
    <w:rsid w:val="00C71542"/>
    <w:rsid w:val="00C718C3"/>
    <w:rsid w:val="00C718C8"/>
    <w:rsid w:val="00C84329"/>
    <w:rsid w:val="00C864F5"/>
    <w:rsid w:val="00C95155"/>
    <w:rsid w:val="00CB2814"/>
    <w:rsid w:val="00CE466C"/>
    <w:rsid w:val="00CF2BA3"/>
    <w:rsid w:val="00D22EDC"/>
    <w:rsid w:val="00D57358"/>
    <w:rsid w:val="00D610A8"/>
    <w:rsid w:val="00D70698"/>
    <w:rsid w:val="00D72676"/>
    <w:rsid w:val="00D76467"/>
    <w:rsid w:val="00D769B4"/>
    <w:rsid w:val="00D84741"/>
    <w:rsid w:val="00D90E96"/>
    <w:rsid w:val="00D94C90"/>
    <w:rsid w:val="00DA227F"/>
    <w:rsid w:val="00DB7216"/>
    <w:rsid w:val="00DD2314"/>
    <w:rsid w:val="00DD273C"/>
    <w:rsid w:val="00DD27A5"/>
    <w:rsid w:val="00DE16B6"/>
    <w:rsid w:val="00DE4822"/>
    <w:rsid w:val="00E0166E"/>
    <w:rsid w:val="00E107B8"/>
    <w:rsid w:val="00E12A6B"/>
    <w:rsid w:val="00E13CC0"/>
    <w:rsid w:val="00E1528C"/>
    <w:rsid w:val="00E22927"/>
    <w:rsid w:val="00E2472E"/>
    <w:rsid w:val="00E31D62"/>
    <w:rsid w:val="00E32CF7"/>
    <w:rsid w:val="00E33697"/>
    <w:rsid w:val="00E415F7"/>
    <w:rsid w:val="00E43974"/>
    <w:rsid w:val="00E442FE"/>
    <w:rsid w:val="00E4448C"/>
    <w:rsid w:val="00E464A2"/>
    <w:rsid w:val="00E52FFB"/>
    <w:rsid w:val="00E53830"/>
    <w:rsid w:val="00E73FBE"/>
    <w:rsid w:val="00E741C4"/>
    <w:rsid w:val="00E7692C"/>
    <w:rsid w:val="00E82FAF"/>
    <w:rsid w:val="00E845A8"/>
    <w:rsid w:val="00E90FD1"/>
    <w:rsid w:val="00EA7D48"/>
    <w:rsid w:val="00EB2201"/>
    <w:rsid w:val="00EC71CE"/>
    <w:rsid w:val="00ED4567"/>
    <w:rsid w:val="00ED4E84"/>
    <w:rsid w:val="00EE7A9B"/>
    <w:rsid w:val="00F00186"/>
    <w:rsid w:val="00F07E88"/>
    <w:rsid w:val="00F11DD5"/>
    <w:rsid w:val="00F222C1"/>
    <w:rsid w:val="00F22B93"/>
    <w:rsid w:val="00F24871"/>
    <w:rsid w:val="00F305CF"/>
    <w:rsid w:val="00F33448"/>
    <w:rsid w:val="00F4340F"/>
    <w:rsid w:val="00F43434"/>
    <w:rsid w:val="00F50B95"/>
    <w:rsid w:val="00F5259C"/>
    <w:rsid w:val="00F67C47"/>
    <w:rsid w:val="00F8456B"/>
    <w:rsid w:val="00FB7532"/>
    <w:rsid w:val="00FC00C5"/>
    <w:rsid w:val="00FC258B"/>
    <w:rsid w:val="00FC2E7E"/>
    <w:rsid w:val="00FD0E00"/>
    <w:rsid w:val="00FD37C7"/>
    <w:rsid w:val="00FE2793"/>
    <w:rsid w:val="00FE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2B46"/>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6</cp:revision>
  <dcterms:created xsi:type="dcterms:W3CDTF">2019-03-25T12:44:00Z</dcterms:created>
  <dcterms:modified xsi:type="dcterms:W3CDTF">2019-03-25T14:48:00Z</dcterms:modified>
</cp:coreProperties>
</file>