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"https://xyk.cebbank.com/cebmms/apply/fz/card-app-status.htm光大银行"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https://xyk.cebbank.com/cebmms/apply/fz/card-app-status.htm光大银行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"https://creditcard.ecitic.com/citiccard/wap/cardappquery/apply-query.html中信银行"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https://creditcard.ecitic.com/citiccard/wap/cardappquery/apply-query.html中信银行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"https://creditcard.cmbc.com.cn/home/cn/wap/business/account/progress/index.shtml?from=singlemessage&amp;isappinstalled=0民生"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https://creditcard.cmbc.com.cn/home/cn/wap/business/account/progress/index.shtml?from=singlemessage&amp;isappinstalled=0</w:t>
      </w:r>
      <w:r>
        <w:rPr>
          <w:rStyle w:val="3"/>
          <w:rFonts w:hint="eastAsia"/>
          <w:lang w:eastAsia="zh-CN"/>
        </w:rPr>
        <w:t>民生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"http://www.spdbccc.com.cn/spdb/cupd/applyProgress.do?method=index浦发银行"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http://www.spdbccc.com.cn/spdb/cupd/applyProgress.do?method=index浦发银行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"https://personalbank.cib.com.cn/pers/creditCard/outer/querySchedule.do兴业"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https://personalbank.cib.com.cn/pers/creditCard/outer/querySchedule.do</w:t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兴业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E0EAD"/>
    <w:rsid w:val="7591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2018-02-24T03:32:18Z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