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2C938" w14:textId="7951A8FC" w:rsidR="00E576A3" w:rsidRPr="00E576A3" w:rsidRDefault="00E576A3" w:rsidP="00E576A3">
      <w:pPr>
        <w:jc w:val="center"/>
        <w:rPr>
          <w:rFonts w:hint="eastAsia"/>
          <w:b/>
          <w:bCs/>
          <w:sz w:val="24"/>
          <w:szCs w:val="28"/>
        </w:rPr>
      </w:pPr>
      <w:r w:rsidRPr="00E576A3">
        <w:rPr>
          <w:rFonts w:hint="eastAsia"/>
          <w:b/>
          <w:bCs/>
          <w:sz w:val="24"/>
          <w:szCs w:val="28"/>
        </w:rPr>
        <w:t>中科乾唐（北京）科技股份公司</w:t>
      </w:r>
      <w:r w:rsidR="006B5140">
        <w:rPr>
          <w:rFonts w:hint="eastAsia"/>
          <w:b/>
          <w:bCs/>
          <w:sz w:val="24"/>
          <w:szCs w:val="28"/>
        </w:rPr>
        <w:t>简介</w:t>
      </w:r>
    </w:p>
    <w:p w14:paraId="596D70B0" w14:textId="77777777" w:rsidR="00E576A3" w:rsidRDefault="00E576A3" w:rsidP="00E576A3">
      <w:pPr>
        <w:rPr>
          <w:rFonts w:hint="eastAsia"/>
        </w:rPr>
      </w:pPr>
    </w:p>
    <w:p w14:paraId="5689007B" w14:textId="50214C93" w:rsidR="00E576A3" w:rsidRPr="00E576A3" w:rsidRDefault="00E576A3" w:rsidP="00E576A3">
      <w:pPr>
        <w:rPr>
          <w:rFonts w:hint="eastAsia"/>
          <w:b/>
          <w:bCs/>
        </w:rPr>
      </w:pPr>
      <w:r w:rsidRPr="00E576A3">
        <w:rPr>
          <w:rFonts w:hint="eastAsia"/>
          <w:b/>
          <w:bCs/>
        </w:rPr>
        <w:t>一、企业基本介绍</w:t>
      </w:r>
    </w:p>
    <w:p w14:paraId="60E441C7" w14:textId="77777777" w:rsidR="00E576A3" w:rsidRDefault="00E576A3" w:rsidP="00E576A3">
      <w:pPr>
        <w:ind w:firstLineChars="200" w:firstLine="420"/>
        <w:rPr>
          <w:rFonts w:hint="eastAsia"/>
        </w:rPr>
      </w:pPr>
      <w:r>
        <w:rPr>
          <w:rFonts w:hint="eastAsia"/>
        </w:rPr>
        <w:t>中科乾唐（北京）科技股份公司（简称：中科乾唐），成立于</w:t>
      </w:r>
      <w:r>
        <w:t>2016年08月25日，统一社会信用代码：91110105MA007TG73C，法定代表人：夏晶，注册资本2210.5264万元人民币，注册地址：北京市北京经济技术开发区荣华南路10号院5号楼10层1106</w:t>
      </w:r>
      <w:r>
        <w:rPr>
          <w:rFonts w:ascii="Cambria Math" w:hAnsi="Cambria Math" w:cs="Cambria Math"/>
        </w:rPr>
        <w:t>‑</w:t>
      </w:r>
      <w:r>
        <w:t>3室，企业类型为非上市股份有限公司，为高新技术企业、专精特新中小企业、北京软件企业。</w:t>
      </w:r>
    </w:p>
    <w:p w14:paraId="67D531EC" w14:textId="77777777" w:rsidR="00E576A3" w:rsidRDefault="00E576A3" w:rsidP="00E576A3">
      <w:pPr>
        <w:ind w:firstLineChars="200" w:firstLine="420"/>
        <w:rPr>
          <w:rFonts w:hint="eastAsia"/>
        </w:rPr>
      </w:pPr>
      <w:r>
        <w:rPr>
          <w:rFonts w:hint="eastAsia"/>
        </w:rPr>
        <w:t>公司专注国资国企监管数字化领域软件开发、数字平台建设，核心方向为国资在线监管系统、产权管理综合信息系统、企业投资与项目管理信息系统研发实施，采用微服务架构，以“业务流程建模+数据分析+AI算法定制开发”为核心能力，面向各省市国资委、中央企业、省属国企提供软件定制、系统实施、技术运维等数字化服务，支持本地化部署与SaaS化部署两种模式。总部设在北京，在石家庄、杭州、乌鲁木齐设有分支机构，服务覆盖辽宁、河北、上海、江苏、湖北、山西、陕西、江西等多省份国资委，累计服务40余家央企及省级国有企业，致力于为国资国企精细化监管、数字化转型提供业务解决方案与决策支撑工具。</w:t>
      </w:r>
    </w:p>
    <w:p w14:paraId="2315B6E4" w14:textId="5B4231C8" w:rsidR="00E576A3" w:rsidRPr="00E576A3" w:rsidRDefault="00E576A3" w:rsidP="00E576A3">
      <w:pPr>
        <w:rPr>
          <w:rFonts w:hint="eastAsia"/>
          <w:b/>
          <w:bCs/>
        </w:rPr>
      </w:pPr>
      <w:r w:rsidRPr="00E576A3">
        <w:rPr>
          <w:rFonts w:hint="eastAsia"/>
          <w:b/>
          <w:bCs/>
        </w:rPr>
        <w:t>二、营业经营水平情况</w:t>
      </w:r>
    </w:p>
    <w:p w14:paraId="1315FB8F" w14:textId="77777777" w:rsidR="00E576A3" w:rsidRDefault="00E576A3" w:rsidP="00E576A3">
      <w:pPr>
        <w:ind w:firstLineChars="200" w:firstLine="420"/>
        <w:rPr>
          <w:rFonts w:hint="eastAsia"/>
        </w:rPr>
      </w:pPr>
      <w:r>
        <w:rPr>
          <w:rFonts w:hint="eastAsia"/>
        </w:rPr>
        <w:t>本企业属于软件信息技术服务业，业务以项目制软件销售、定制开发、技术服务为主，无实物产品销售量统计口径。</w:t>
      </w:r>
    </w:p>
    <w:p w14:paraId="02CF1937" w14:textId="1EE8A8A4" w:rsidR="00E576A3" w:rsidRDefault="00E576A3" w:rsidP="00E576A3">
      <w:pPr>
        <w:ind w:firstLineChars="200" w:firstLine="420"/>
        <w:rPr>
          <w:rFonts w:hint="eastAsia"/>
        </w:rPr>
      </w:pPr>
      <w:r>
        <w:rPr>
          <w:rFonts w:hint="eastAsia"/>
        </w:rPr>
        <w:t>1、近三年经营规模</w:t>
      </w:r>
    </w:p>
    <w:p w14:paraId="5E06F718" w14:textId="61B29C4A" w:rsidR="00E576A3" w:rsidRDefault="00E576A3" w:rsidP="00E576A3">
      <w:pPr>
        <w:ind w:firstLineChars="200" w:firstLine="420"/>
        <w:rPr>
          <w:rFonts w:hint="eastAsia"/>
        </w:rPr>
      </w:pPr>
      <w:r>
        <w:rPr>
          <w:rFonts w:hint="eastAsia"/>
        </w:rPr>
        <w:t>2023年度：实现营业收入</w:t>
      </w:r>
      <w:r w:rsidRPr="00E576A3">
        <w:rPr>
          <w:rFonts w:hint="eastAsia"/>
          <w:u w:val="single"/>
        </w:rPr>
        <w:t>1781.20_</w:t>
      </w:r>
      <w:r>
        <w:rPr>
          <w:rFonts w:hint="eastAsia"/>
        </w:rPr>
        <w:t>万元；签约项目数量约为</w:t>
      </w:r>
      <w:r w:rsidRPr="00E576A3">
        <w:rPr>
          <w:rFonts w:hint="eastAsia"/>
          <w:u w:val="single"/>
        </w:rPr>
        <w:t>2</w:t>
      </w:r>
      <w:r>
        <w:rPr>
          <w:rFonts w:hint="eastAsia"/>
          <w:u w:val="single"/>
        </w:rPr>
        <w:t>7</w:t>
      </w:r>
      <w:r>
        <w:rPr>
          <w:rFonts w:hint="eastAsia"/>
        </w:rPr>
        <w:t>个；主要业务为国资监管平台建设、产权投资管理系统实施、技术运维服务。</w:t>
      </w:r>
    </w:p>
    <w:p w14:paraId="4C4242B1" w14:textId="645EA387" w:rsidR="00E576A3" w:rsidRDefault="00E576A3" w:rsidP="00E576A3">
      <w:pPr>
        <w:ind w:firstLineChars="200" w:firstLine="420"/>
        <w:rPr>
          <w:rFonts w:hint="eastAsia"/>
        </w:rPr>
      </w:pPr>
      <w:r>
        <w:rPr>
          <w:rFonts w:hint="eastAsia"/>
        </w:rPr>
        <w:t>2024年度：实现营业收入</w:t>
      </w:r>
      <w:r w:rsidRPr="00E576A3">
        <w:rPr>
          <w:rFonts w:hint="eastAsia"/>
          <w:u w:val="single"/>
        </w:rPr>
        <w:t>3052.92</w:t>
      </w:r>
      <w:r>
        <w:rPr>
          <w:rFonts w:hint="eastAsia"/>
        </w:rPr>
        <w:t>万元；签约项目数量约为</w:t>
      </w:r>
      <w:r w:rsidRPr="00E576A3">
        <w:rPr>
          <w:rFonts w:hint="eastAsia"/>
          <w:u w:val="single"/>
        </w:rPr>
        <w:t>32</w:t>
      </w:r>
      <w:r>
        <w:rPr>
          <w:rFonts w:hint="eastAsia"/>
        </w:rPr>
        <w:t>个；持续拓展省级国资委、央企下属单位数字化项目。</w:t>
      </w:r>
    </w:p>
    <w:p w14:paraId="25054B28" w14:textId="4DED2213" w:rsidR="00E576A3" w:rsidRDefault="00E576A3" w:rsidP="00E576A3">
      <w:pPr>
        <w:ind w:firstLineChars="200" w:firstLine="420"/>
        <w:rPr>
          <w:rFonts w:hint="eastAsia"/>
        </w:rPr>
      </w:pPr>
      <w:r>
        <w:rPr>
          <w:rFonts w:hint="eastAsia"/>
        </w:rPr>
        <w:t>2025年度：实现营业收入</w:t>
      </w:r>
      <w:r w:rsidRPr="00E576A3">
        <w:rPr>
          <w:rFonts w:hint="eastAsia"/>
          <w:u w:val="single"/>
        </w:rPr>
        <w:t>_4406.64_</w:t>
      </w:r>
      <w:r>
        <w:rPr>
          <w:rFonts w:hint="eastAsia"/>
        </w:rPr>
        <w:t>万元；签约项目数量</w:t>
      </w:r>
      <w:r w:rsidRPr="00E576A3">
        <w:rPr>
          <w:rFonts w:hint="eastAsia"/>
          <w:u w:val="single"/>
        </w:rPr>
        <w:t>_35</w:t>
      </w:r>
      <w:r>
        <w:rPr>
          <w:rFonts w:hint="eastAsia"/>
        </w:rPr>
        <w:t>个；持续迭代自研国资监管系列软件产品。</w:t>
      </w:r>
    </w:p>
    <w:p w14:paraId="09CF204B" w14:textId="77777777" w:rsidR="00E576A3" w:rsidRDefault="00E576A3" w:rsidP="00E576A3">
      <w:pPr>
        <w:ind w:firstLineChars="200" w:firstLine="420"/>
        <w:rPr>
          <w:rFonts w:hint="eastAsia"/>
        </w:rPr>
      </w:pPr>
      <w:r>
        <w:rPr>
          <w:rFonts w:hint="eastAsia"/>
        </w:rPr>
        <w:t>2、业务交付能力</w:t>
      </w:r>
    </w:p>
    <w:p w14:paraId="6A16930B" w14:textId="77777777" w:rsidR="00E576A3" w:rsidRDefault="00E576A3" w:rsidP="00E576A3">
      <w:pPr>
        <w:ind w:firstLineChars="200" w:firstLine="420"/>
        <w:rPr>
          <w:rFonts w:hint="eastAsia"/>
        </w:rPr>
      </w:pPr>
      <w:r>
        <w:rPr>
          <w:rFonts w:hint="eastAsia"/>
        </w:rPr>
        <w:t>公司具备完整软件需求调研、定制开发、部署上线、售后运维全流程服务能力，拥有多项软件著作权，自研国资监管类产品具备行业可复制性，能够承接省、市、县多级国资监管信息化建设项目。</w:t>
      </w:r>
    </w:p>
    <w:p w14:paraId="3BF295BD" w14:textId="157CBE4B" w:rsidR="00E576A3" w:rsidRPr="00E576A3" w:rsidRDefault="00E576A3" w:rsidP="00E576A3">
      <w:pPr>
        <w:rPr>
          <w:rFonts w:hint="eastAsia"/>
          <w:b/>
          <w:bCs/>
        </w:rPr>
      </w:pPr>
      <w:r w:rsidRPr="00E576A3">
        <w:rPr>
          <w:rFonts w:hint="eastAsia"/>
          <w:b/>
          <w:bCs/>
        </w:rPr>
        <w:t>三、行业地位与市场情况</w:t>
      </w:r>
    </w:p>
    <w:p w14:paraId="64674D7F" w14:textId="77777777" w:rsidR="00E576A3" w:rsidRDefault="00E576A3" w:rsidP="00E576A3">
      <w:pPr>
        <w:ind w:firstLineChars="200" w:firstLine="420"/>
        <w:rPr>
          <w:rFonts w:hint="eastAsia"/>
        </w:rPr>
      </w:pPr>
      <w:r>
        <w:rPr>
          <w:rFonts w:hint="eastAsia"/>
        </w:rPr>
        <w:t>国资国企数字化监管赛道暂无全国统一公开的权威企业榜单，中科乾唐深耕国资产权、投资监管垂直细分领域，是国内较早专注国资在线监管业务的软件服务商之一，在多省级国资委、省属国企形成落地标杆项目，产品方案贴合国资监管政策规范，在国资产权管理、穿透式投资监管细分场景具备较强项目实践经验。</w:t>
      </w:r>
    </w:p>
    <w:p w14:paraId="41A7E660" w14:textId="6D9D07A7" w:rsidR="00E576A3" w:rsidRPr="00E576A3" w:rsidRDefault="00E576A3" w:rsidP="00E576A3">
      <w:pPr>
        <w:rPr>
          <w:rFonts w:hint="eastAsia"/>
          <w:b/>
          <w:bCs/>
        </w:rPr>
      </w:pPr>
      <w:r w:rsidRPr="00E576A3">
        <w:rPr>
          <w:rFonts w:hint="eastAsia"/>
          <w:b/>
          <w:bCs/>
        </w:rPr>
        <w:t>四、企业资质荣誉</w:t>
      </w:r>
    </w:p>
    <w:p w14:paraId="613DBF19" w14:textId="77777777" w:rsidR="00E576A3" w:rsidRDefault="00E576A3" w:rsidP="00E576A3">
      <w:pPr>
        <w:ind w:firstLineChars="200" w:firstLine="420"/>
        <w:rPr>
          <w:rFonts w:hint="eastAsia"/>
        </w:rPr>
      </w:pPr>
      <w:r>
        <w:rPr>
          <w:rFonts w:hint="eastAsia"/>
        </w:rPr>
        <w:t>高新技术企业证书、专精特新中小企业认定、北京软件企业认定，拥有多项计算机软件著作权，A级纳税人企业。</w:t>
      </w:r>
    </w:p>
    <w:p w14:paraId="375408E8" w14:textId="77777777" w:rsidR="00E576A3" w:rsidRDefault="00E576A3" w:rsidP="00E576A3">
      <w:pPr>
        <w:rPr>
          <w:rFonts w:hint="eastAsia"/>
        </w:rPr>
      </w:pPr>
    </w:p>
    <w:p w14:paraId="463EAAD5" w14:textId="77777777" w:rsidR="00E576A3" w:rsidRDefault="00E576A3" w:rsidP="00E576A3">
      <w:pPr>
        <w:rPr>
          <w:rFonts w:hint="eastAsia"/>
        </w:rPr>
      </w:pPr>
    </w:p>
    <w:sectPr w:rsidR="00E576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A3400" w14:textId="77777777" w:rsidR="00ED058A" w:rsidRDefault="00ED058A" w:rsidP="00E576A3">
      <w:pPr>
        <w:rPr>
          <w:rFonts w:hint="eastAsia"/>
        </w:rPr>
      </w:pPr>
      <w:r>
        <w:separator/>
      </w:r>
    </w:p>
  </w:endnote>
  <w:endnote w:type="continuationSeparator" w:id="0">
    <w:p w14:paraId="5335080C" w14:textId="77777777" w:rsidR="00ED058A" w:rsidRDefault="00ED058A" w:rsidP="00E576A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BF21F" w14:textId="77777777" w:rsidR="00ED058A" w:rsidRDefault="00ED058A" w:rsidP="00E576A3">
      <w:pPr>
        <w:rPr>
          <w:rFonts w:hint="eastAsia"/>
        </w:rPr>
      </w:pPr>
      <w:r>
        <w:separator/>
      </w:r>
    </w:p>
  </w:footnote>
  <w:footnote w:type="continuationSeparator" w:id="0">
    <w:p w14:paraId="7F093542" w14:textId="77777777" w:rsidR="00ED058A" w:rsidRDefault="00ED058A" w:rsidP="00E576A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B67"/>
    <w:rsid w:val="00070E2F"/>
    <w:rsid w:val="001379A0"/>
    <w:rsid w:val="0037799D"/>
    <w:rsid w:val="006B5140"/>
    <w:rsid w:val="00700161"/>
    <w:rsid w:val="008B5B67"/>
    <w:rsid w:val="00AA0691"/>
    <w:rsid w:val="00E576A3"/>
    <w:rsid w:val="00ED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FA9C11"/>
  <w15:chartTrackingRefBased/>
  <w15:docId w15:val="{A1E4DC70-0E46-4D39-90B9-03859F64F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5B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5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5B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5B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5B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5B6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5B6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5B6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5B6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5B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5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5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5B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5B6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B5B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5B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5B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5B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5B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5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5B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5B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5B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5B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5B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5B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5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5B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5B6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576A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576A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576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576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499</Words>
  <Characters>549</Characters>
  <Application>Microsoft Office Word</Application>
  <DocSecurity>0</DocSecurity>
  <Lines>21</Lines>
  <Paragraphs>18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yansong 李</dc:creator>
  <cp:keywords/>
  <dc:description/>
  <cp:lastModifiedBy>yansong 李</cp:lastModifiedBy>
  <cp:revision>3</cp:revision>
  <dcterms:created xsi:type="dcterms:W3CDTF">2026-08-05T11:19:00Z</dcterms:created>
  <dcterms:modified xsi:type="dcterms:W3CDTF">2026-08-13T04:57:00Z</dcterms:modified>
</cp:coreProperties>
</file>