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9752"/>
      </w:tblGrid>
      <w:tr w:rsidR="00CE7C0D">
        <w:trPr>
          <w:trHeight w:val="525"/>
          <w:tblCellSpacing w:w="0" w:type="dxa"/>
        </w:trPr>
        <w:tc>
          <w:tcPr>
            <w:tcW w:w="0" w:type="auto"/>
            <w:vAlign w:val="center"/>
            <w:hideMark/>
          </w:tcPr>
          <w:p w:rsidR="00CE7C0D" w:rsidRDefault="00CE7C0D">
            <w:pPr>
              <w:jc w:val="center"/>
              <w:rPr>
                <w:rFonts w:ascii="宋体" w:eastAsia="宋体" w:hAnsi="宋体" w:cs="宋体"/>
                <w:sz w:val="18"/>
                <w:szCs w:val="18"/>
              </w:rPr>
            </w:pPr>
            <w:r>
              <w:rPr>
                <w:rStyle w:val="style101"/>
              </w:rPr>
              <w:t>南京大学硕士学位论文答辩资格审查简明流程</w:t>
            </w:r>
          </w:p>
        </w:tc>
      </w:tr>
      <w:tr w:rsidR="00CE7C0D">
        <w:trPr>
          <w:trHeight w:val="390"/>
          <w:tblCellSpacing w:w="0" w:type="dxa"/>
        </w:trPr>
        <w:tc>
          <w:tcPr>
            <w:tcW w:w="0" w:type="auto"/>
            <w:vAlign w:val="center"/>
            <w:hideMark/>
          </w:tcPr>
          <w:p w:rsidR="00CE7C0D" w:rsidRDefault="00CE7C0D">
            <w:pPr>
              <w:jc w:val="center"/>
              <w:rPr>
                <w:rFonts w:ascii="宋体" w:eastAsia="宋体" w:hAnsi="宋体" w:cs="宋体"/>
                <w:sz w:val="18"/>
                <w:szCs w:val="18"/>
              </w:rPr>
            </w:pPr>
            <w:r>
              <w:rPr>
                <w:sz w:val="18"/>
                <w:szCs w:val="18"/>
              </w:rPr>
              <w:t> </w:t>
            </w:r>
          </w:p>
        </w:tc>
      </w:tr>
      <w:tr w:rsidR="00CE7C0D">
        <w:trPr>
          <w:trHeight w:val="4275"/>
          <w:tblCellSpacing w:w="0" w:type="dxa"/>
        </w:trPr>
        <w:tc>
          <w:tcPr>
            <w:tcW w:w="0" w:type="auto"/>
            <w:hideMark/>
          </w:tcPr>
          <w:p w:rsidR="00CE7C0D" w:rsidRDefault="00CE7C0D">
            <w:pPr>
              <w:rPr>
                <w:sz w:val="18"/>
                <w:szCs w:val="18"/>
              </w:rPr>
            </w:pPr>
            <w:r>
              <w:rPr>
                <w:sz w:val="18"/>
                <w:szCs w:val="18"/>
              </w:rPr>
              <w:t>一</w:t>
            </w:r>
            <w:r>
              <w:rPr>
                <w:sz w:val="18"/>
                <w:szCs w:val="18"/>
              </w:rPr>
              <w:t>.</w:t>
            </w:r>
            <w:r>
              <w:rPr>
                <w:sz w:val="18"/>
                <w:szCs w:val="18"/>
              </w:rPr>
              <w:t>硕士研究生按培养计划完成课程学习、学位论文撰写并达到《</w:t>
            </w:r>
            <w:hyperlink r:id="rId6" w:history="1">
              <w:r>
                <w:rPr>
                  <w:rStyle w:val="a3"/>
                  <w:color w:val="0000CC"/>
                  <w:sz w:val="18"/>
                  <w:szCs w:val="18"/>
                </w:rPr>
                <w:t>南京大学授予硕士学位研究成果量化指标</w:t>
              </w:r>
            </w:hyperlink>
            <w:r>
              <w:rPr>
                <w:sz w:val="18"/>
                <w:szCs w:val="18"/>
              </w:rPr>
              <w:t>》所规定的要求。</w:t>
            </w:r>
            <w:r>
              <w:rPr>
                <w:sz w:val="18"/>
                <w:szCs w:val="18"/>
              </w:rPr>
              <w:br/>
            </w:r>
            <w:r>
              <w:rPr>
                <w:sz w:val="18"/>
                <w:szCs w:val="18"/>
              </w:rPr>
              <w:br/>
            </w:r>
            <w:r>
              <w:rPr>
                <w:sz w:val="18"/>
                <w:szCs w:val="18"/>
              </w:rPr>
              <w:t>二</w:t>
            </w:r>
            <w:r>
              <w:rPr>
                <w:sz w:val="18"/>
                <w:szCs w:val="18"/>
              </w:rPr>
              <w:t xml:space="preserve">. </w:t>
            </w:r>
            <w:r>
              <w:rPr>
                <w:sz w:val="18"/>
                <w:szCs w:val="18"/>
              </w:rPr>
              <w:t>院系教务员审查硕士研究生课程学习成绩。</w:t>
            </w:r>
            <w:r>
              <w:rPr>
                <w:sz w:val="18"/>
                <w:szCs w:val="18"/>
              </w:rPr>
              <w:t xml:space="preserve"> </w:t>
            </w:r>
          </w:p>
          <w:p w:rsidR="00CE7C0D" w:rsidRDefault="00CE7C0D">
            <w:pPr>
              <w:pStyle w:val="a4"/>
              <w:rPr>
                <w:sz w:val="18"/>
                <w:szCs w:val="18"/>
              </w:rPr>
            </w:pPr>
            <w:r>
              <w:rPr>
                <w:sz w:val="18"/>
                <w:szCs w:val="18"/>
              </w:rPr>
              <w:t>（1）本专业本科一般为32个学分。</w:t>
            </w:r>
          </w:p>
          <w:p w:rsidR="00CE7C0D" w:rsidRDefault="00CE7C0D">
            <w:pPr>
              <w:pStyle w:val="a4"/>
              <w:rPr>
                <w:sz w:val="18"/>
                <w:szCs w:val="18"/>
              </w:rPr>
            </w:pPr>
            <w:r>
              <w:rPr>
                <w:sz w:val="18"/>
                <w:szCs w:val="18"/>
              </w:rPr>
              <w:t>（2）非本专业本科或同等学力入学者为36个学分。</w:t>
            </w:r>
          </w:p>
          <w:p w:rsidR="00CE7C0D" w:rsidRDefault="00CE7C0D">
            <w:pPr>
              <w:pStyle w:val="a4"/>
              <w:rPr>
                <w:sz w:val="18"/>
                <w:szCs w:val="18"/>
              </w:rPr>
            </w:pPr>
            <w:r>
              <w:rPr>
                <w:sz w:val="18"/>
                <w:szCs w:val="18"/>
              </w:rPr>
              <w:t xml:space="preserve">　</w:t>
            </w:r>
            <w:r>
              <w:rPr>
                <w:sz w:val="18"/>
                <w:szCs w:val="18"/>
              </w:rPr>
              <w:br/>
              <w:t>三. 导师审查学位论文。</w:t>
            </w:r>
            <w:r>
              <w:rPr>
                <w:sz w:val="18"/>
                <w:szCs w:val="18"/>
              </w:rPr>
              <w:br/>
              <w:t>四. 答辩前一个月，答辩委员会秘书将 1.</w:t>
            </w:r>
            <w:hyperlink r:id="rId7" w:history="1">
              <w:r>
                <w:rPr>
                  <w:rStyle w:val="style111"/>
                  <w:sz w:val="18"/>
                  <w:szCs w:val="18"/>
                </w:rPr>
                <w:t>硕士学位申请人的培养计划</w:t>
              </w:r>
            </w:hyperlink>
            <w:r>
              <w:rPr>
                <w:sz w:val="18"/>
                <w:szCs w:val="18"/>
              </w:rPr>
              <w:t xml:space="preserve">、课程学习成绩单 </w:t>
            </w:r>
            <w:hyperlink r:id="rId8" w:history="1">
              <w:r>
                <w:rPr>
                  <w:rStyle w:val="style111"/>
                  <w:sz w:val="18"/>
                  <w:szCs w:val="18"/>
                </w:rPr>
                <w:t>2.评阅人名单3.答辩委员会名单</w:t>
              </w:r>
            </w:hyperlink>
            <w:r>
              <w:rPr>
                <w:sz w:val="18"/>
                <w:szCs w:val="18"/>
              </w:rPr>
              <w:t>送院系研究生秘书所审查。</w:t>
            </w:r>
          </w:p>
          <w:p w:rsidR="00CE7C0D" w:rsidRDefault="00CE7C0D">
            <w:pPr>
              <w:pStyle w:val="a4"/>
              <w:rPr>
                <w:sz w:val="18"/>
                <w:szCs w:val="18"/>
              </w:rPr>
            </w:pPr>
            <w:r>
              <w:rPr>
                <w:sz w:val="18"/>
                <w:szCs w:val="18"/>
              </w:rPr>
              <w:t>注意事项:</w:t>
            </w:r>
            <w:r>
              <w:rPr>
                <w:sz w:val="18"/>
                <w:szCs w:val="18"/>
              </w:rPr>
              <w:br/>
              <w:t>（1）成绩单上所列课程应与培养计划相符且成绩合格。</w:t>
            </w:r>
            <w:r>
              <w:rPr>
                <w:sz w:val="18"/>
                <w:szCs w:val="18"/>
              </w:rPr>
              <w:br/>
              <w:t>（2）评阅人2人，至少1人为校外的教授、副教授或相当专业技术职务的专家。</w:t>
            </w:r>
            <w:r>
              <w:rPr>
                <w:sz w:val="18"/>
                <w:szCs w:val="18"/>
              </w:rPr>
              <w:br/>
              <w:t>（3）硕士学位论文答辩委员会以教授或相当专业技术职务的专家为主共三人组成，其中教授或相当专业技术职务的专家至少有二人，导师不参加答辩委员会。原则上不聘请外单位专家参加, 外籍专家均不能担任主席。</w:t>
            </w:r>
            <w:r>
              <w:rPr>
                <w:sz w:val="18"/>
                <w:szCs w:val="18"/>
              </w:rPr>
              <w:br/>
              <w:t>五. 如果初审合格,参照流程中的项六；如果初审不合格,返回到流程中的项一。</w:t>
            </w:r>
            <w:r>
              <w:rPr>
                <w:sz w:val="18"/>
                <w:szCs w:val="18"/>
              </w:rPr>
              <w:br/>
              <w:t>六. 研究生秘书发给有关论文答辩材料。</w:t>
            </w:r>
          </w:p>
          <w:p w:rsidR="00CE7C0D" w:rsidRDefault="00CE7C0D">
            <w:pPr>
              <w:pStyle w:val="a4"/>
              <w:spacing w:before="0" w:beforeAutospacing="0" w:after="0" w:afterAutospacing="0"/>
              <w:rPr>
                <w:sz w:val="18"/>
                <w:szCs w:val="18"/>
              </w:rPr>
            </w:pPr>
            <w:r>
              <w:rPr>
                <w:sz w:val="18"/>
                <w:szCs w:val="18"/>
              </w:rPr>
              <w:t>材料如下：</w:t>
            </w:r>
            <w:r>
              <w:rPr>
                <w:sz w:val="18"/>
                <w:szCs w:val="18"/>
              </w:rPr>
              <w:br/>
              <w:t>（1）</w:t>
            </w:r>
            <w:hyperlink r:id="rId9" w:history="1">
              <w:r>
                <w:rPr>
                  <w:rStyle w:val="style111"/>
                  <w:sz w:val="18"/>
                  <w:szCs w:val="18"/>
                </w:rPr>
                <w:t>学位申请书</w:t>
              </w:r>
            </w:hyperlink>
            <w:r>
              <w:rPr>
                <w:sz w:val="18"/>
                <w:szCs w:val="18"/>
              </w:rPr>
              <w:t>一式二份、</w:t>
            </w:r>
            <w:hyperlink r:id="rId10" w:history="1">
              <w:r>
                <w:rPr>
                  <w:rStyle w:val="style111"/>
                  <w:sz w:val="18"/>
                  <w:szCs w:val="18"/>
                </w:rPr>
                <w:t>附表一</w:t>
              </w:r>
            </w:hyperlink>
            <w:r>
              <w:rPr>
                <w:sz w:val="18"/>
                <w:szCs w:val="18"/>
              </w:rPr>
              <w:t>一式一份、</w:t>
            </w:r>
            <w:hyperlink r:id="rId11" w:history="1">
              <w:r>
                <w:rPr>
                  <w:rStyle w:val="style111"/>
                  <w:sz w:val="18"/>
                  <w:szCs w:val="18"/>
                </w:rPr>
                <w:t>附表二</w:t>
              </w:r>
            </w:hyperlink>
            <w:r>
              <w:rPr>
                <w:sz w:val="18"/>
                <w:szCs w:val="18"/>
              </w:rPr>
              <w:t>一式二份。</w:t>
            </w:r>
            <w:r>
              <w:rPr>
                <w:sz w:val="18"/>
                <w:szCs w:val="18"/>
              </w:rPr>
              <w:br/>
              <w:t>（2）</w:t>
            </w:r>
            <w:hyperlink r:id="rId12" w:history="1">
              <w:r>
                <w:rPr>
                  <w:rStyle w:val="style111"/>
                  <w:sz w:val="18"/>
                  <w:szCs w:val="18"/>
                </w:rPr>
                <w:t>论文评阅人、答辩委员会送审表</w:t>
              </w:r>
            </w:hyperlink>
            <w:r>
              <w:rPr>
                <w:sz w:val="18"/>
                <w:szCs w:val="18"/>
              </w:rPr>
              <w:t>一式一份、外单位专家聘书（视具体人数而定）、</w:t>
            </w:r>
            <w:hyperlink r:id="rId13" w:history="1">
              <w:r>
                <w:rPr>
                  <w:rStyle w:val="style111"/>
                  <w:sz w:val="18"/>
                  <w:szCs w:val="18"/>
                </w:rPr>
                <w:t>论文评阅及答辩费单</w:t>
              </w:r>
            </w:hyperlink>
            <w:r>
              <w:rPr>
                <w:sz w:val="18"/>
                <w:szCs w:val="18"/>
              </w:rPr>
              <w:t>一式一份。</w:t>
            </w:r>
            <w:r>
              <w:rPr>
                <w:sz w:val="18"/>
                <w:szCs w:val="18"/>
              </w:rPr>
              <w:br/>
              <w:t>（3）答辩纪录一式一份。</w:t>
            </w:r>
            <w:r>
              <w:rPr>
                <w:sz w:val="18"/>
                <w:szCs w:val="18"/>
              </w:rPr>
              <w:br/>
              <w:t>（4）答辩委员会表决票一式三份。</w:t>
            </w:r>
            <w:r>
              <w:rPr>
                <w:sz w:val="18"/>
                <w:szCs w:val="18"/>
              </w:rPr>
              <w:br/>
              <w:t>（5）</w:t>
            </w:r>
            <w:hyperlink r:id="rId14" w:history="1">
              <w:r>
                <w:rPr>
                  <w:rStyle w:val="style111"/>
                  <w:sz w:val="18"/>
                  <w:szCs w:val="18"/>
                </w:rPr>
                <w:t>中、英文摘要首页</w:t>
              </w:r>
            </w:hyperlink>
            <w:r>
              <w:rPr>
                <w:sz w:val="18"/>
                <w:szCs w:val="18"/>
              </w:rPr>
              <w:t>各一式一份。</w:t>
            </w:r>
            <w:r>
              <w:rPr>
                <w:sz w:val="18"/>
                <w:szCs w:val="18"/>
              </w:rPr>
              <w:br/>
              <w:t>（6）</w:t>
            </w:r>
            <w:hyperlink r:id="rId15" w:history="1">
              <w:r>
                <w:rPr>
                  <w:rStyle w:val="style111"/>
                  <w:sz w:val="18"/>
                  <w:szCs w:val="18"/>
                </w:rPr>
                <w:t>学位论文封面</w:t>
              </w:r>
            </w:hyperlink>
            <w:r>
              <w:rPr>
                <w:sz w:val="18"/>
                <w:szCs w:val="18"/>
              </w:rPr>
              <w:t>若干份。</w:t>
            </w:r>
            <w:r>
              <w:rPr>
                <w:sz w:val="18"/>
                <w:szCs w:val="18"/>
              </w:rPr>
              <w:br/>
              <w:t>（7）</w:t>
            </w:r>
            <w:hyperlink r:id="rId16" w:history="1">
              <w:r>
                <w:rPr>
                  <w:rStyle w:val="a3"/>
                  <w:sz w:val="18"/>
                  <w:szCs w:val="18"/>
                </w:rPr>
                <w:t>学位论文出版授权书</w:t>
              </w:r>
            </w:hyperlink>
            <w:r>
              <w:rPr>
                <w:sz w:val="18"/>
                <w:szCs w:val="18"/>
              </w:rPr>
              <w:t>。</w:t>
            </w:r>
          </w:p>
          <w:p w:rsidR="00CE7C0D" w:rsidRDefault="00CE7C0D">
            <w:pPr>
              <w:pStyle w:val="a4"/>
              <w:spacing w:before="0" w:beforeAutospacing="0" w:after="0" w:afterAutospacing="0"/>
              <w:rPr>
                <w:sz w:val="18"/>
                <w:szCs w:val="18"/>
              </w:rPr>
            </w:pPr>
            <w:r>
              <w:rPr>
                <w:rStyle w:val="style111"/>
                <w:sz w:val="18"/>
                <w:szCs w:val="18"/>
              </w:rPr>
              <w:t>（8）</w:t>
            </w:r>
            <w:hyperlink r:id="rId17" w:history="1">
              <w:r>
                <w:rPr>
                  <w:rStyle w:val="style111"/>
                  <w:sz w:val="18"/>
                  <w:szCs w:val="18"/>
                </w:rPr>
                <w:t>上交材料</w:t>
              </w:r>
              <w:r>
                <w:rPr>
                  <w:rStyle w:val="style111"/>
                  <w:sz w:val="18"/>
                  <w:szCs w:val="18"/>
                </w:rPr>
                <w:t>清</w:t>
              </w:r>
              <w:r>
                <w:rPr>
                  <w:rStyle w:val="style111"/>
                  <w:sz w:val="18"/>
                  <w:szCs w:val="18"/>
                </w:rPr>
                <w:t>单</w:t>
              </w:r>
            </w:hyperlink>
            <w:r>
              <w:rPr>
                <w:sz w:val="18"/>
                <w:szCs w:val="18"/>
              </w:rPr>
              <w:t>一式一份。</w:t>
            </w:r>
            <w:r>
              <w:rPr>
                <w:sz w:val="18"/>
                <w:szCs w:val="18"/>
              </w:rPr>
              <w:br/>
              <w:t xml:space="preserve">　 </w:t>
            </w:r>
            <w:r>
              <w:rPr>
                <w:sz w:val="18"/>
                <w:szCs w:val="18"/>
              </w:rPr>
              <w:br/>
              <w:t>七. 由导师、教研室主任和院系主管研究生的院长（主任）负责审查硕士生思想政治、道德品质及学术作风等。</w:t>
            </w:r>
            <w:r>
              <w:rPr>
                <w:sz w:val="18"/>
                <w:szCs w:val="18"/>
              </w:rPr>
              <w:br/>
              <w:t>八. 如果审查不合格，则不能参加论文答辩；如果审查合格，则参加论文答辩。</w:t>
            </w:r>
            <w:r>
              <w:rPr>
                <w:sz w:val="18"/>
                <w:szCs w:val="18"/>
              </w:rPr>
              <w:br/>
              <w:t>九. 论文答辩结束后，按规定时间到研究生院学位办理离校手续，并上交如下材料：</w:t>
            </w:r>
          </w:p>
          <w:p w:rsidR="00CE7C0D" w:rsidRDefault="00CE7C0D">
            <w:pPr>
              <w:pStyle w:val="a4"/>
              <w:rPr>
                <w:sz w:val="18"/>
                <w:szCs w:val="18"/>
              </w:rPr>
            </w:pPr>
            <w:r>
              <w:rPr>
                <w:sz w:val="18"/>
                <w:szCs w:val="18"/>
              </w:rPr>
              <w:t>（1）论文一份（导师签字）。</w:t>
            </w:r>
            <w:r>
              <w:rPr>
                <w:sz w:val="18"/>
                <w:szCs w:val="18"/>
              </w:rPr>
              <w:br/>
              <w:t>（2）中英文摘要一份。</w:t>
            </w:r>
            <w:r>
              <w:rPr>
                <w:sz w:val="18"/>
                <w:szCs w:val="18"/>
              </w:rPr>
              <w:br/>
              <w:t>（3）已发表的论文复印件一份（带原件核查）。</w:t>
            </w:r>
            <w:r>
              <w:rPr>
                <w:sz w:val="18"/>
                <w:szCs w:val="18"/>
              </w:rPr>
              <w:br/>
              <w:t>（4）</w:t>
            </w:r>
            <w:hyperlink r:id="rId18" w:history="1">
              <w:r>
                <w:rPr>
                  <w:rStyle w:val="a3"/>
                  <w:sz w:val="18"/>
                  <w:szCs w:val="18"/>
                </w:rPr>
                <w:t>研究生学位授予网报系统</w:t>
              </w:r>
            </w:hyperlink>
            <w:r>
              <w:rPr>
                <w:sz w:val="18"/>
                <w:szCs w:val="18"/>
              </w:rPr>
              <w:t>（请在网上填报），网上提交后请打印此表，本人签名后上交。</w:t>
            </w:r>
          </w:p>
          <w:p w:rsidR="00CE7C0D" w:rsidRDefault="00CE7C0D">
            <w:pPr>
              <w:pStyle w:val="a4"/>
              <w:rPr>
                <w:sz w:val="18"/>
                <w:szCs w:val="18"/>
              </w:rPr>
            </w:pPr>
            <w:r>
              <w:rPr>
                <w:sz w:val="18"/>
                <w:szCs w:val="18"/>
              </w:rPr>
              <w:t>十. 按档案馆要求，</w:t>
            </w:r>
            <w:hyperlink r:id="rId19" w:history="1">
              <w:r>
                <w:rPr>
                  <w:rStyle w:val="style111"/>
                  <w:sz w:val="18"/>
                  <w:szCs w:val="18"/>
                </w:rPr>
                <w:t>上传学位论文电子文档</w:t>
              </w:r>
            </w:hyperlink>
            <w:r>
              <w:rPr>
                <w:sz w:val="18"/>
                <w:szCs w:val="18"/>
              </w:rPr>
              <w:t>。</w:t>
            </w:r>
          </w:p>
        </w:tc>
      </w:tr>
    </w:tbl>
    <w:p w:rsidR="00314831" w:rsidRPr="00CE7C0D" w:rsidRDefault="00314831" w:rsidP="00CE7C0D">
      <w:pPr>
        <w:rPr>
          <w:szCs w:val="21"/>
        </w:rPr>
      </w:pPr>
    </w:p>
    <w:sectPr w:rsidR="00314831" w:rsidRPr="00CE7C0D" w:rsidSect="00C635D3">
      <w:pgSz w:w="11906" w:h="16838"/>
      <w:pgMar w:top="1304" w:right="1077" w:bottom="1304" w:left="107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051F" w:rsidRDefault="000B051F" w:rsidP="00C635D3">
      <w:r>
        <w:separator/>
      </w:r>
    </w:p>
  </w:endnote>
  <w:endnote w:type="continuationSeparator" w:id="1">
    <w:p w:rsidR="000B051F" w:rsidRDefault="000B051F" w:rsidP="00C635D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051F" w:rsidRDefault="000B051F" w:rsidP="00C635D3">
      <w:r>
        <w:separator/>
      </w:r>
    </w:p>
  </w:footnote>
  <w:footnote w:type="continuationSeparator" w:id="1">
    <w:p w:rsidR="000B051F" w:rsidRDefault="000B051F" w:rsidP="00C635D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3C25"/>
    <w:rsid w:val="000B051F"/>
    <w:rsid w:val="001D3C25"/>
    <w:rsid w:val="00314831"/>
    <w:rsid w:val="00636A0B"/>
    <w:rsid w:val="0080325E"/>
    <w:rsid w:val="00C635D3"/>
    <w:rsid w:val="00CD39DD"/>
    <w:rsid w:val="00CE7C0D"/>
    <w:rsid w:val="00E30732"/>
    <w:rsid w:val="00E33138"/>
    <w:rsid w:val="00FA4A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0732"/>
    <w:pPr>
      <w:widowControl w:val="0"/>
      <w:jc w:val="both"/>
    </w:pPr>
  </w:style>
  <w:style w:type="paragraph" w:styleId="1">
    <w:name w:val="heading 1"/>
    <w:basedOn w:val="a"/>
    <w:next w:val="a"/>
    <w:link w:val="1Char"/>
    <w:uiPriority w:val="9"/>
    <w:qFormat/>
    <w:rsid w:val="003148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48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8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D3C25"/>
    <w:rPr>
      <w:strike w:val="0"/>
      <w:dstrike w:val="0"/>
      <w:color w:val="000000"/>
      <w:u w:val="none"/>
      <w:effect w:val="none"/>
    </w:rPr>
  </w:style>
  <w:style w:type="character" w:customStyle="1" w:styleId="style101">
    <w:name w:val="style101"/>
    <w:basedOn w:val="a0"/>
    <w:rsid w:val="001D3C25"/>
    <w:rPr>
      <w:color w:val="CC0033"/>
      <w:sz w:val="24"/>
      <w:szCs w:val="24"/>
    </w:rPr>
  </w:style>
  <w:style w:type="paragraph" w:styleId="a4">
    <w:name w:val="Normal (Web)"/>
    <w:basedOn w:val="a"/>
    <w:uiPriority w:val="99"/>
    <w:unhideWhenUsed/>
    <w:rsid w:val="001D3C25"/>
    <w:pPr>
      <w:widowControl/>
      <w:spacing w:before="100" w:beforeAutospacing="1" w:after="100" w:afterAutospacing="1"/>
      <w:jc w:val="left"/>
    </w:pPr>
    <w:rPr>
      <w:rFonts w:ascii="宋体" w:eastAsia="宋体" w:hAnsi="宋体" w:cs="宋体"/>
      <w:kern w:val="0"/>
      <w:sz w:val="24"/>
      <w:szCs w:val="24"/>
    </w:rPr>
  </w:style>
  <w:style w:type="character" w:customStyle="1" w:styleId="style111">
    <w:name w:val="style111"/>
    <w:basedOn w:val="a0"/>
    <w:rsid w:val="001D3C25"/>
    <w:rPr>
      <w:color w:val="000099"/>
    </w:rPr>
  </w:style>
  <w:style w:type="paragraph" w:styleId="a5">
    <w:name w:val="Title"/>
    <w:basedOn w:val="a"/>
    <w:next w:val="a"/>
    <w:link w:val="Char"/>
    <w:uiPriority w:val="10"/>
    <w:qFormat/>
    <w:rsid w:val="0031483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314831"/>
    <w:rPr>
      <w:rFonts w:asciiTheme="majorHAnsi" w:eastAsia="宋体" w:hAnsiTheme="majorHAnsi" w:cstheme="majorBidi"/>
      <w:b/>
      <w:bCs/>
      <w:sz w:val="32"/>
      <w:szCs w:val="32"/>
    </w:rPr>
  </w:style>
  <w:style w:type="character" w:customStyle="1" w:styleId="1Char">
    <w:name w:val="标题 1 Char"/>
    <w:basedOn w:val="a0"/>
    <w:link w:val="1"/>
    <w:uiPriority w:val="9"/>
    <w:rsid w:val="00314831"/>
    <w:rPr>
      <w:b/>
      <w:bCs/>
      <w:kern w:val="44"/>
      <w:sz w:val="44"/>
      <w:szCs w:val="44"/>
    </w:rPr>
  </w:style>
  <w:style w:type="character" w:customStyle="1" w:styleId="2Char">
    <w:name w:val="标题 2 Char"/>
    <w:basedOn w:val="a0"/>
    <w:link w:val="2"/>
    <w:uiPriority w:val="9"/>
    <w:rsid w:val="003148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831"/>
    <w:rPr>
      <w:b/>
      <w:bCs/>
      <w:sz w:val="32"/>
      <w:szCs w:val="32"/>
    </w:rPr>
  </w:style>
  <w:style w:type="paragraph" w:styleId="a6">
    <w:name w:val="header"/>
    <w:basedOn w:val="a"/>
    <w:link w:val="Char0"/>
    <w:uiPriority w:val="99"/>
    <w:semiHidden/>
    <w:unhideWhenUsed/>
    <w:rsid w:val="00C635D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C635D3"/>
    <w:rPr>
      <w:sz w:val="18"/>
      <w:szCs w:val="18"/>
    </w:rPr>
  </w:style>
  <w:style w:type="paragraph" w:styleId="a7">
    <w:name w:val="footer"/>
    <w:basedOn w:val="a"/>
    <w:link w:val="Char1"/>
    <w:uiPriority w:val="99"/>
    <w:semiHidden/>
    <w:unhideWhenUsed/>
    <w:rsid w:val="00C635D3"/>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C635D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rawww.nju.edu.cn/content/wj/pyrmd.doc" TargetMode="External"/><Relationship Id="rId13" Type="http://schemas.openxmlformats.org/officeDocument/2006/relationships/hyperlink" Target="http://grawww.nju.edu.cn/content/wj/pydbfd.doc" TargetMode="External"/><Relationship Id="rId18" Type="http://schemas.openxmlformats.org/officeDocument/2006/relationships/hyperlink" Target="http://www.cdgdc.edu.cn/xwxxcj/10284"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grawww.nju.edu.cn/content/wj/pyjh.doc" TargetMode="External"/><Relationship Id="rId12" Type="http://schemas.openxmlformats.org/officeDocument/2006/relationships/hyperlink" Target="http://grawww.nju.edu.cn/content/wj/pyrmd.doc" TargetMode="External"/><Relationship Id="rId17" Type="http://schemas.openxmlformats.org/officeDocument/2006/relationships/hyperlink" Target="http://grawww.nju.edu.cn/content/wj/clqd.doc" TargetMode="External"/><Relationship Id="rId2" Type="http://schemas.openxmlformats.org/officeDocument/2006/relationships/settings" Target="settings.xml"/><Relationship Id="rId16" Type="http://schemas.openxmlformats.org/officeDocument/2006/relationships/hyperlink" Target="http://grawww.nju.edu.cn/content/wj/xw21.doc"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grawww.nju.edu.cn/content/wj/xw4.htm" TargetMode="External"/><Relationship Id="rId11" Type="http://schemas.openxmlformats.org/officeDocument/2006/relationships/hyperlink" Target="http://grawww.nju.edu.cn/content/wj/fber.doc" TargetMode="External"/><Relationship Id="rId5" Type="http://schemas.openxmlformats.org/officeDocument/2006/relationships/endnotes" Target="endnotes.xml"/><Relationship Id="rId15" Type="http://schemas.openxmlformats.org/officeDocument/2006/relationships/hyperlink" Target="http://grawww.nju.edu.cn/content/wj/lwfm.doc" TargetMode="External"/><Relationship Id="rId10" Type="http://schemas.openxmlformats.org/officeDocument/2006/relationships/hyperlink" Target="http://grawww.nju.edu.cn/content/wj/fby.doc" TargetMode="External"/><Relationship Id="rId19" Type="http://schemas.openxmlformats.org/officeDocument/2006/relationships/hyperlink" Target="http://202.119.38.70/login.asp" TargetMode="External"/><Relationship Id="rId4" Type="http://schemas.openxmlformats.org/officeDocument/2006/relationships/footnotes" Target="footnotes.xml"/><Relationship Id="rId9" Type="http://schemas.openxmlformats.org/officeDocument/2006/relationships/hyperlink" Target="http://grawww.nju.edu.cn/content/wj/shqsh.doc" TargetMode="External"/><Relationship Id="rId14" Type="http://schemas.openxmlformats.org/officeDocument/2006/relationships/hyperlink" Target="http://grawww.nju.edu.cn/content/wj/zhywzhy.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曹迎春</dc:creator>
  <cp:lastModifiedBy>yccao</cp:lastModifiedBy>
  <cp:revision>4</cp:revision>
  <cp:lastPrinted>2010-05-06T01:39:00Z</cp:lastPrinted>
  <dcterms:created xsi:type="dcterms:W3CDTF">2010-05-06T00:56:00Z</dcterms:created>
  <dcterms:modified xsi:type="dcterms:W3CDTF">2011-04-22T06:39:00Z</dcterms:modified>
</cp:coreProperties>
</file>