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2CF" w:rsidRDefault="00F072CF" w:rsidP="00F072CF">
      <w:pPr>
        <w:rPr>
          <w:rFonts w:ascii="宋体" w:hAnsi="宋体" w:cs="宋体"/>
          <w:b/>
          <w:bCs/>
          <w:color w:val="000000"/>
          <w:kern w:val="0"/>
          <w:sz w:val="36"/>
          <w:szCs w:val="36"/>
        </w:rPr>
      </w:pPr>
      <w:r w:rsidRPr="009E5DA3">
        <w:rPr>
          <w:rFonts w:ascii="黑体" w:eastAsia="黑体" w:hAnsi="黑体" w:cs="Times New Roman" w:hint="eastAsia"/>
          <w:kern w:val="0"/>
          <w:sz w:val="32"/>
          <w:szCs w:val="32"/>
        </w:rPr>
        <w:t>附件</w:t>
      </w:r>
      <w:r w:rsidR="00172CBE">
        <w:rPr>
          <w:rFonts w:ascii="黑体" w:eastAsia="黑体" w:hAnsi="黑体" w:cs="Times New Roman" w:hint="eastAsia"/>
          <w:kern w:val="0"/>
          <w:sz w:val="32"/>
          <w:szCs w:val="32"/>
        </w:rPr>
        <w:t>3</w:t>
      </w:r>
    </w:p>
    <w:p w:rsidR="00F072CF" w:rsidRDefault="00F072CF" w:rsidP="00F072CF">
      <w:pPr>
        <w:widowControl/>
        <w:jc w:val="center"/>
        <w:rPr>
          <w:rFonts w:ascii="仿宋" w:eastAsia="仿宋" w:hAnsi="仿宋"/>
          <w:sz w:val="32"/>
          <w:szCs w:val="32"/>
        </w:rPr>
      </w:pPr>
      <w:r>
        <w:rPr>
          <w:rFonts w:ascii="宋体" w:hAnsi="宋体" w:cs="宋体" w:hint="eastAsia"/>
          <w:b/>
          <w:bCs/>
          <w:color w:val="000000"/>
          <w:kern w:val="0"/>
          <w:sz w:val="36"/>
          <w:szCs w:val="36"/>
        </w:rPr>
        <w:t>一二代央行内部（企业）评级系统切换实施流程</w:t>
      </w:r>
    </w:p>
    <w:p w:rsidR="00F072CF" w:rsidRPr="001A3D0B" w:rsidRDefault="00F072CF" w:rsidP="00F072CF">
      <w:pPr>
        <w:widowControl/>
        <w:ind w:firstLineChars="200" w:firstLine="640"/>
        <w:jc w:val="left"/>
        <w:rPr>
          <w:rFonts w:ascii="仿宋" w:eastAsia="仿宋" w:hAnsi="仿宋"/>
          <w:sz w:val="32"/>
          <w:szCs w:val="32"/>
        </w:rPr>
      </w:pPr>
      <w:r w:rsidRPr="001A3D0B">
        <w:rPr>
          <w:rFonts w:ascii="仿宋" w:eastAsia="仿宋" w:hAnsi="仿宋" w:hint="eastAsia"/>
          <w:sz w:val="32"/>
          <w:szCs w:val="32"/>
        </w:rPr>
        <w:t>一二代央行内部（企业）评级系统切换实施流程</w:t>
      </w:r>
      <w:r>
        <w:rPr>
          <w:rFonts w:ascii="仿宋" w:eastAsia="仿宋" w:hAnsi="仿宋" w:hint="eastAsia"/>
          <w:sz w:val="32"/>
          <w:szCs w:val="32"/>
        </w:rPr>
        <w:t>含测试环境准备、生产环境切换以及数据质量控制三个阶段，具体流程</w:t>
      </w:r>
      <w:r w:rsidRPr="001A3D0B">
        <w:rPr>
          <w:rFonts w:ascii="仿宋" w:eastAsia="仿宋" w:hAnsi="仿宋" w:hint="eastAsia"/>
          <w:sz w:val="32"/>
          <w:szCs w:val="32"/>
        </w:rPr>
        <w:t>如下：</w:t>
      </w:r>
    </w:p>
    <w:p w:rsidR="00F072CF" w:rsidRDefault="00F072CF" w:rsidP="00F072CF">
      <w:pPr>
        <w:widowControl/>
        <w:tabs>
          <w:tab w:val="left" w:pos="312"/>
        </w:tabs>
        <w:ind w:firstLineChars="200" w:firstLine="643"/>
        <w:jc w:val="left"/>
        <w:rPr>
          <w:rFonts w:ascii="仿宋" w:eastAsia="仿宋" w:hAnsi="仿宋"/>
          <w:b/>
          <w:bCs/>
          <w:sz w:val="32"/>
          <w:szCs w:val="32"/>
        </w:rPr>
      </w:pPr>
      <w:r>
        <w:rPr>
          <w:rFonts w:ascii="仿宋" w:eastAsia="仿宋" w:hAnsi="仿宋" w:hint="eastAsia"/>
          <w:b/>
          <w:bCs/>
          <w:sz w:val="32"/>
          <w:szCs w:val="32"/>
        </w:rPr>
        <w:t>1</w:t>
      </w:r>
      <w:r>
        <w:rPr>
          <w:rFonts w:ascii="仿宋" w:eastAsia="仿宋" w:hAnsi="仿宋"/>
          <w:b/>
          <w:bCs/>
          <w:sz w:val="32"/>
          <w:szCs w:val="32"/>
        </w:rPr>
        <w:t>.</w:t>
      </w:r>
      <w:r w:rsidRPr="008E214C">
        <w:rPr>
          <w:rFonts w:hint="eastAsia"/>
        </w:rPr>
        <w:t xml:space="preserve"> </w:t>
      </w:r>
      <w:r w:rsidRPr="008E214C">
        <w:rPr>
          <w:rFonts w:ascii="仿宋" w:eastAsia="仿宋" w:hAnsi="仿宋" w:hint="eastAsia"/>
          <w:b/>
          <w:bCs/>
          <w:sz w:val="32"/>
          <w:szCs w:val="32"/>
        </w:rPr>
        <w:t>测试环境准备</w:t>
      </w:r>
    </w:p>
    <w:p w:rsidR="00F072CF" w:rsidRDefault="00F072CF" w:rsidP="00F072CF">
      <w:pPr>
        <w:widowControl/>
        <w:numPr>
          <w:ilvl w:val="0"/>
          <w:numId w:val="1"/>
        </w:numPr>
        <w:ind w:firstLine="640"/>
        <w:jc w:val="left"/>
        <w:rPr>
          <w:rFonts w:ascii="仿宋" w:eastAsia="仿宋" w:hAnsi="仿宋"/>
          <w:sz w:val="32"/>
          <w:szCs w:val="32"/>
        </w:rPr>
      </w:pPr>
      <w:r>
        <w:rPr>
          <w:rFonts w:ascii="仿宋" w:eastAsia="仿宋" w:hAnsi="仿宋" w:hint="eastAsia"/>
          <w:sz w:val="32"/>
          <w:szCs w:val="32"/>
        </w:rPr>
        <w:t>申请测试环境联调测试并申请测试账号。</w:t>
      </w:r>
    </w:p>
    <w:p w:rsidR="00F072CF" w:rsidRDefault="00F072CF" w:rsidP="00F072CF">
      <w:pPr>
        <w:widowControl/>
        <w:numPr>
          <w:ilvl w:val="0"/>
          <w:numId w:val="1"/>
        </w:numPr>
        <w:ind w:firstLine="640"/>
        <w:jc w:val="left"/>
        <w:rPr>
          <w:rFonts w:ascii="仿宋" w:eastAsia="仿宋" w:hAnsi="仿宋"/>
          <w:sz w:val="32"/>
          <w:szCs w:val="32"/>
        </w:rPr>
      </w:pPr>
      <w:r>
        <w:rPr>
          <w:rFonts w:ascii="仿宋" w:eastAsia="仿宋" w:hAnsi="仿宋" w:hint="eastAsia"/>
          <w:sz w:val="32"/>
          <w:szCs w:val="32"/>
        </w:rPr>
        <w:t>开展联调测试，验证企业评级信息和信贷信息报文相关功能。</w:t>
      </w:r>
    </w:p>
    <w:p w:rsidR="00F072CF" w:rsidRDefault="00F072CF" w:rsidP="00F072CF">
      <w:pPr>
        <w:widowControl/>
        <w:numPr>
          <w:ilvl w:val="0"/>
          <w:numId w:val="1"/>
        </w:numPr>
        <w:ind w:firstLine="640"/>
        <w:jc w:val="left"/>
        <w:rPr>
          <w:rFonts w:ascii="仿宋" w:eastAsia="仿宋" w:hAnsi="仿宋"/>
          <w:sz w:val="32"/>
          <w:szCs w:val="32"/>
        </w:rPr>
      </w:pPr>
      <w:r>
        <w:rPr>
          <w:rFonts w:ascii="仿宋" w:eastAsia="仿宋" w:hAnsi="仿宋" w:hint="eastAsia"/>
          <w:sz w:val="32"/>
          <w:szCs w:val="32"/>
        </w:rPr>
        <w:t>提交验收申请</w:t>
      </w:r>
      <w:r w:rsidR="00E629CF">
        <w:rPr>
          <w:rFonts w:ascii="仿宋" w:eastAsia="仿宋" w:hAnsi="仿宋" w:hint="eastAsia"/>
          <w:sz w:val="32"/>
          <w:szCs w:val="32"/>
        </w:rPr>
        <w:t>，征信中心组织召开切换评估会</w:t>
      </w:r>
      <w:r>
        <w:rPr>
          <w:rFonts w:ascii="仿宋" w:eastAsia="仿宋" w:hAnsi="仿宋" w:hint="eastAsia"/>
          <w:sz w:val="32"/>
          <w:szCs w:val="32"/>
        </w:rPr>
        <w:t>。</w:t>
      </w:r>
      <w:bookmarkStart w:id="0" w:name="_GoBack"/>
      <w:bookmarkEnd w:id="0"/>
    </w:p>
    <w:p w:rsidR="00F072CF" w:rsidRDefault="00F072CF" w:rsidP="00F072CF">
      <w:pPr>
        <w:widowControl/>
        <w:tabs>
          <w:tab w:val="left" w:pos="312"/>
        </w:tabs>
        <w:ind w:firstLineChars="200" w:firstLine="643"/>
        <w:jc w:val="left"/>
        <w:rPr>
          <w:rFonts w:ascii="仿宋" w:eastAsia="仿宋" w:hAnsi="仿宋"/>
          <w:b/>
          <w:bCs/>
          <w:sz w:val="32"/>
          <w:szCs w:val="32"/>
        </w:rPr>
      </w:pPr>
      <w:r>
        <w:rPr>
          <w:rFonts w:ascii="仿宋" w:eastAsia="仿宋" w:hAnsi="仿宋" w:hint="eastAsia"/>
          <w:b/>
          <w:bCs/>
          <w:sz w:val="32"/>
          <w:szCs w:val="32"/>
        </w:rPr>
        <w:t>2</w:t>
      </w:r>
      <w:r w:rsidRPr="00CC2AF0">
        <w:rPr>
          <w:rFonts w:ascii="仿宋" w:eastAsia="仿宋" w:hAnsi="仿宋"/>
          <w:b/>
          <w:bCs/>
          <w:sz w:val="32"/>
          <w:szCs w:val="32"/>
        </w:rPr>
        <w:t>.</w:t>
      </w:r>
      <w:r>
        <w:rPr>
          <w:rFonts w:ascii="仿宋" w:eastAsia="仿宋" w:hAnsi="仿宋" w:hint="eastAsia"/>
          <w:b/>
          <w:bCs/>
          <w:sz w:val="32"/>
          <w:szCs w:val="32"/>
        </w:rPr>
        <w:t>生产环境</w:t>
      </w:r>
      <w:r w:rsidRPr="00CC2AF0">
        <w:rPr>
          <w:rFonts w:ascii="仿宋" w:eastAsia="仿宋" w:hAnsi="仿宋" w:hint="eastAsia"/>
          <w:b/>
          <w:bCs/>
          <w:sz w:val="32"/>
          <w:szCs w:val="32"/>
        </w:rPr>
        <w:t>切换</w:t>
      </w:r>
    </w:p>
    <w:p w:rsidR="00F072CF" w:rsidRPr="00CC2AF0" w:rsidRDefault="00E629CF" w:rsidP="00F072CF">
      <w:pPr>
        <w:widowControl/>
        <w:numPr>
          <w:ilvl w:val="0"/>
          <w:numId w:val="1"/>
        </w:numPr>
        <w:ind w:firstLineChars="200" w:firstLine="640"/>
        <w:jc w:val="left"/>
        <w:rPr>
          <w:rFonts w:ascii="仿宋" w:eastAsia="仿宋" w:hAnsi="仿宋"/>
          <w:b/>
          <w:bCs/>
          <w:sz w:val="32"/>
          <w:szCs w:val="32"/>
        </w:rPr>
      </w:pPr>
      <w:r>
        <w:rPr>
          <w:rFonts w:ascii="仿宋" w:eastAsia="仿宋" w:hAnsi="仿宋" w:hint="eastAsia"/>
          <w:sz w:val="32"/>
          <w:szCs w:val="32"/>
        </w:rPr>
        <w:t>评估</w:t>
      </w:r>
      <w:r w:rsidR="00F072CF">
        <w:rPr>
          <w:rFonts w:ascii="仿宋" w:eastAsia="仿宋" w:hAnsi="仿宋" w:hint="eastAsia"/>
          <w:sz w:val="32"/>
          <w:szCs w:val="32"/>
        </w:rPr>
        <w:t>通过后确定切换时间并提交切换申请，启动正式切换。</w:t>
      </w:r>
    </w:p>
    <w:p w:rsidR="00F072CF" w:rsidRDefault="00F072CF" w:rsidP="00F072CF">
      <w:pPr>
        <w:widowControl/>
        <w:numPr>
          <w:ilvl w:val="0"/>
          <w:numId w:val="1"/>
        </w:numPr>
        <w:ind w:firstLine="640"/>
        <w:jc w:val="left"/>
        <w:rPr>
          <w:rFonts w:ascii="仿宋" w:eastAsia="仿宋" w:hAnsi="仿宋"/>
          <w:sz w:val="32"/>
          <w:szCs w:val="32"/>
        </w:rPr>
      </w:pPr>
      <w:r>
        <w:rPr>
          <w:rFonts w:ascii="仿宋" w:eastAsia="仿宋" w:hAnsi="仿宋" w:hint="eastAsia"/>
          <w:sz w:val="32"/>
          <w:szCs w:val="32"/>
        </w:rPr>
        <w:t>确认</w:t>
      </w:r>
      <w:r w:rsidRPr="006D7FB8">
        <w:rPr>
          <w:rFonts w:ascii="仿宋" w:eastAsia="仿宋" w:hAnsi="仿宋" w:hint="eastAsia"/>
          <w:sz w:val="32"/>
          <w:szCs w:val="32"/>
        </w:rPr>
        <w:t>一代央行内部（企业）评级系统</w:t>
      </w:r>
      <w:r>
        <w:rPr>
          <w:rFonts w:ascii="仿宋" w:eastAsia="仿宋" w:hAnsi="仿宋" w:hint="eastAsia"/>
          <w:sz w:val="32"/>
          <w:szCs w:val="32"/>
        </w:rPr>
        <w:t>数据状态</w:t>
      </w:r>
      <w:r w:rsidR="00E03348">
        <w:rPr>
          <w:rFonts w:ascii="仿宋" w:eastAsia="仿宋" w:hAnsi="仿宋" w:hint="eastAsia"/>
          <w:sz w:val="32"/>
          <w:szCs w:val="32"/>
        </w:rPr>
        <w:t>，一代存量数据迁移完成</w:t>
      </w:r>
      <w:r>
        <w:rPr>
          <w:rFonts w:ascii="仿宋" w:eastAsia="仿宋" w:hAnsi="仿宋" w:hint="eastAsia"/>
          <w:sz w:val="32"/>
          <w:szCs w:val="32"/>
        </w:rPr>
        <w:t>。</w:t>
      </w:r>
    </w:p>
    <w:p w:rsidR="00F072CF" w:rsidRDefault="00F072CF" w:rsidP="00F072CF">
      <w:pPr>
        <w:widowControl/>
        <w:numPr>
          <w:ilvl w:val="0"/>
          <w:numId w:val="1"/>
        </w:numPr>
        <w:ind w:firstLine="640"/>
        <w:jc w:val="left"/>
        <w:rPr>
          <w:rFonts w:ascii="仿宋" w:eastAsia="仿宋" w:hAnsi="仿宋"/>
          <w:sz w:val="32"/>
          <w:szCs w:val="32"/>
        </w:rPr>
      </w:pPr>
      <w:r>
        <w:rPr>
          <w:rFonts w:ascii="仿宋" w:eastAsia="仿宋" w:hAnsi="仿宋" w:hint="eastAsia"/>
          <w:sz w:val="32"/>
          <w:szCs w:val="32"/>
        </w:rPr>
        <w:t>申请</w:t>
      </w:r>
      <w:r w:rsidRPr="006D7FB8">
        <w:rPr>
          <w:rFonts w:ascii="仿宋" w:eastAsia="仿宋" w:hAnsi="仿宋" w:hint="eastAsia"/>
          <w:sz w:val="32"/>
          <w:szCs w:val="32"/>
        </w:rPr>
        <w:t>二代央行内部（企业）评级系统</w:t>
      </w:r>
      <w:r>
        <w:rPr>
          <w:rFonts w:ascii="仿宋" w:eastAsia="仿宋" w:hAnsi="仿宋" w:hint="eastAsia"/>
          <w:sz w:val="32"/>
          <w:szCs w:val="32"/>
        </w:rPr>
        <w:t>生产环境账号及数字证书</w:t>
      </w:r>
      <w:r w:rsidR="00E03348">
        <w:rPr>
          <w:rFonts w:ascii="仿宋" w:eastAsia="仿宋" w:hAnsi="仿宋" w:hint="eastAsia"/>
          <w:sz w:val="32"/>
          <w:szCs w:val="32"/>
        </w:rPr>
        <w:t>，报送增量数据包括企业评级信息、合格企业信贷信息</w:t>
      </w:r>
      <w:r>
        <w:rPr>
          <w:rFonts w:ascii="仿宋" w:eastAsia="仿宋" w:hAnsi="仿宋" w:hint="eastAsia"/>
          <w:sz w:val="32"/>
          <w:szCs w:val="32"/>
        </w:rPr>
        <w:t>。</w:t>
      </w:r>
    </w:p>
    <w:p w:rsidR="00F072CF" w:rsidRPr="00DC4F00" w:rsidRDefault="00F072CF" w:rsidP="00F072CF">
      <w:pPr>
        <w:widowControl/>
        <w:tabs>
          <w:tab w:val="left" w:pos="312"/>
        </w:tabs>
        <w:ind w:firstLineChars="200" w:firstLine="643"/>
        <w:jc w:val="left"/>
        <w:rPr>
          <w:rFonts w:ascii="仿宋" w:eastAsia="仿宋" w:hAnsi="仿宋"/>
          <w:b/>
          <w:bCs/>
          <w:sz w:val="32"/>
          <w:szCs w:val="32"/>
        </w:rPr>
      </w:pPr>
      <w:r>
        <w:rPr>
          <w:rFonts w:ascii="仿宋" w:eastAsia="仿宋" w:hAnsi="仿宋"/>
          <w:b/>
          <w:bCs/>
          <w:sz w:val="32"/>
          <w:szCs w:val="32"/>
        </w:rPr>
        <w:t>3.</w:t>
      </w:r>
      <w:r w:rsidRPr="00DC4F00">
        <w:rPr>
          <w:rFonts w:ascii="仿宋" w:eastAsia="仿宋" w:hAnsi="仿宋" w:hint="eastAsia"/>
          <w:b/>
          <w:bCs/>
          <w:sz w:val="32"/>
          <w:szCs w:val="32"/>
        </w:rPr>
        <w:t>数据质量控制</w:t>
      </w:r>
    </w:p>
    <w:p w:rsidR="00F072CF" w:rsidRDefault="00F072CF" w:rsidP="00F072CF">
      <w:pPr>
        <w:widowControl/>
        <w:numPr>
          <w:ilvl w:val="0"/>
          <w:numId w:val="1"/>
        </w:numPr>
        <w:ind w:firstLine="640"/>
        <w:jc w:val="left"/>
        <w:rPr>
          <w:rFonts w:ascii="仿宋" w:eastAsia="仿宋" w:hAnsi="仿宋"/>
          <w:sz w:val="32"/>
          <w:szCs w:val="32"/>
        </w:rPr>
      </w:pPr>
      <w:r w:rsidRPr="00DC4F00">
        <w:rPr>
          <w:rFonts w:ascii="仿宋" w:eastAsia="仿宋" w:hAnsi="仿宋" w:hint="eastAsia"/>
          <w:sz w:val="32"/>
          <w:szCs w:val="32"/>
        </w:rPr>
        <w:t>比对确认</w:t>
      </w:r>
      <w:r>
        <w:rPr>
          <w:rFonts w:ascii="仿宋" w:eastAsia="仿宋" w:hAnsi="仿宋" w:hint="eastAsia"/>
          <w:sz w:val="32"/>
          <w:szCs w:val="32"/>
        </w:rPr>
        <w:t>增量报送数据</w:t>
      </w:r>
      <w:r w:rsidRPr="00DC4F00">
        <w:rPr>
          <w:rFonts w:ascii="仿宋" w:eastAsia="仿宋" w:hAnsi="仿宋" w:hint="eastAsia"/>
          <w:sz w:val="32"/>
          <w:szCs w:val="32"/>
        </w:rPr>
        <w:t>。</w:t>
      </w:r>
    </w:p>
    <w:p w:rsidR="00F072CF" w:rsidRPr="00E03348" w:rsidRDefault="00F072CF" w:rsidP="00F072CF">
      <w:pPr>
        <w:widowControl/>
        <w:numPr>
          <w:ilvl w:val="0"/>
          <w:numId w:val="1"/>
        </w:numPr>
        <w:ind w:firstLine="640"/>
        <w:jc w:val="left"/>
        <w:rPr>
          <w:rFonts w:ascii="仿宋" w:eastAsia="仿宋" w:hAnsi="仿宋"/>
          <w:sz w:val="32"/>
          <w:szCs w:val="32"/>
        </w:rPr>
      </w:pPr>
      <w:r w:rsidRPr="00E03348">
        <w:rPr>
          <w:rFonts w:ascii="仿宋" w:eastAsia="仿宋" w:hAnsi="仿宋" w:hint="eastAsia"/>
          <w:sz w:val="32"/>
          <w:szCs w:val="32"/>
        </w:rPr>
        <w:t>持续跟踪数据报</w:t>
      </w:r>
      <w:proofErr w:type="gramStart"/>
      <w:r w:rsidRPr="00E03348">
        <w:rPr>
          <w:rFonts w:ascii="仿宋" w:eastAsia="仿宋" w:hAnsi="仿宋" w:hint="eastAsia"/>
          <w:sz w:val="32"/>
          <w:szCs w:val="32"/>
        </w:rPr>
        <w:t>送情况</w:t>
      </w:r>
      <w:proofErr w:type="gramEnd"/>
      <w:r w:rsidRPr="00E03348">
        <w:rPr>
          <w:rFonts w:ascii="仿宋" w:eastAsia="仿宋" w:hAnsi="仿宋" w:hint="eastAsia"/>
          <w:sz w:val="32"/>
          <w:szCs w:val="32"/>
        </w:rPr>
        <w:t>和</w:t>
      </w:r>
      <w:r w:rsidR="007834DC">
        <w:rPr>
          <w:rFonts w:ascii="仿宋" w:eastAsia="仿宋" w:hAnsi="仿宋" w:hint="eastAsia"/>
          <w:sz w:val="32"/>
          <w:szCs w:val="32"/>
        </w:rPr>
        <w:t>评级结果无错误</w:t>
      </w:r>
      <w:r w:rsidRPr="00E03348">
        <w:rPr>
          <w:rFonts w:ascii="仿宋" w:eastAsia="仿宋" w:hAnsi="仿宋" w:hint="eastAsia"/>
          <w:sz w:val="32"/>
          <w:szCs w:val="32"/>
        </w:rPr>
        <w:t>。</w:t>
      </w:r>
    </w:p>
    <w:p w:rsidR="00F072CF" w:rsidRDefault="00F072CF" w:rsidP="00F072CF">
      <w:pPr>
        <w:ind w:firstLineChars="200" w:firstLine="640"/>
        <w:rPr>
          <w:rFonts w:ascii="仿宋" w:eastAsia="仿宋" w:hAnsi="仿宋" w:cs="Times New Roman"/>
          <w:sz w:val="32"/>
          <w:szCs w:val="32"/>
        </w:rPr>
      </w:pPr>
      <w:r>
        <w:rPr>
          <w:rFonts w:ascii="仿宋" w:eastAsia="仿宋" w:hAnsi="仿宋" w:cs="Times New Roman" w:hint="eastAsia"/>
          <w:sz w:val="32"/>
          <w:szCs w:val="32"/>
        </w:rPr>
        <w:t>附：</w:t>
      </w:r>
      <w:r w:rsidRPr="00522052">
        <w:rPr>
          <w:rFonts w:ascii="仿宋" w:eastAsia="仿宋" w:hAnsi="仿宋" w:hint="eastAsia"/>
          <w:sz w:val="32"/>
          <w:szCs w:val="32"/>
        </w:rPr>
        <w:t>一二代央行内部（企业）评级系统切换实施</w:t>
      </w:r>
      <w:r>
        <w:rPr>
          <w:rFonts w:ascii="仿宋" w:eastAsia="仿宋" w:hAnsi="仿宋" w:hint="eastAsia"/>
          <w:sz w:val="32"/>
          <w:szCs w:val="32"/>
        </w:rPr>
        <w:t>步骤</w:t>
      </w:r>
    </w:p>
    <w:p w:rsidR="00F072CF" w:rsidRDefault="00F072CF" w:rsidP="00F072CF">
      <w:pPr>
        <w:rPr>
          <w:rFonts w:ascii="宋体" w:hAnsi="宋体" w:cs="宋体"/>
          <w:b/>
          <w:bCs/>
          <w:color w:val="000000"/>
          <w:kern w:val="0"/>
          <w:sz w:val="36"/>
          <w:szCs w:val="36"/>
        </w:rPr>
      </w:pPr>
      <w:r w:rsidRPr="009E5DA3">
        <w:rPr>
          <w:rFonts w:ascii="黑体" w:eastAsia="黑体" w:hAnsi="黑体" w:cs="Times New Roman" w:hint="eastAsia"/>
          <w:kern w:val="0"/>
          <w:sz w:val="32"/>
          <w:szCs w:val="32"/>
        </w:rPr>
        <w:lastRenderedPageBreak/>
        <w:t>附</w:t>
      </w:r>
    </w:p>
    <w:p w:rsidR="00F072CF" w:rsidRDefault="00F072CF" w:rsidP="00F072CF">
      <w:pPr>
        <w:widowControl/>
        <w:jc w:val="center"/>
        <w:rPr>
          <w:rFonts w:ascii="仿宋" w:eastAsia="仿宋" w:hAnsi="仿宋"/>
          <w:sz w:val="32"/>
          <w:szCs w:val="32"/>
        </w:rPr>
      </w:pPr>
      <w:r>
        <w:rPr>
          <w:rFonts w:ascii="宋体" w:hAnsi="宋体" w:cs="宋体" w:hint="eastAsia"/>
          <w:b/>
          <w:bCs/>
          <w:color w:val="000000"/>
          <w:kern w:val="0"/>
          <w:sz w:val="36"/>
          <w:szCs w:val="36"/>
        </w:rPr>
        <w:t>一二代央行内部（企业）评级系统切换实施步骤</w:t>
      </w:r>
    </w:p>
    <w:tbl>
      <w:tblPr>
        <w:tblW w:w="0" w:type="auto"/>
        <w:tblInd w:w="96" w:type="dxa"/>
        <w:tblLook w:val="04A0" w:firstRow="1" w:lastRow="0" w:firstColumn="1" w:lastColumn="0" w:noHBand="0" w:noVBand="1"/>
      </w:tblPr>
      <w:tblGrid>
        <w:gridCol w:w="696"/>
        <w:gridCol w:w="656"/>
        <w:gridCol w:w="2243"/>
        <w:gridCol w:w="4831"/>
      </w:tblGrid>
      <w:tr w:rsidR="00F072CF" w:rsidTr="001D759F">
        <w:trPr>
          <w:trHeight w:val="40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sz w:val="24"/>
                <w:szCs w:val="24"/>
              </w:rPr>
            </w:pPr>
            <w:r>
              <w:rPr>
                <w:rFonts w:ascii="黑体" w:eastAsia="黑体" w:hAnsi="宋体" w:cs="黑体" w:hint="eastAsia"/>
                <w:color w:val="000000"/>
                <w:kern w:val="0"/>
                <w:sz w:val="24"/>
                <w:szCs w:val="24"/>
              </w:rPr>
              <w:t>序号</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sz w:val="24"/>
                <w:szCs w:val="24"/>
              </w:rPr>
            </w:pPr>
            <w:r>
              <w:rPr>
                <w:rFonts w:ascii="黑体" w:eastAsia="黑体" w:hAnsi="宋体" w:cs="黑体" w:hint="eastAsia"/>
                <w:color w:val="000000"/>
                <w:kern w:val="0"/>
                <w:sz w:val="24"/>
                <w:szCs w:val="24"/>
              </w:rPr>
              <w:t>操作环境</w:t>
            </w: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sz w:val="24"/>
                <w:szCs w:val="24"/>
              </w:rPr>
            </w:pPr>
            <w:r>
              <w:rPr>
                <w:rFonts w:ascii="黑体" w:eastAsia="黑体" w:hAnsi="宋体" w:cs="黑体" w:hint="eastAsia"/>
                <w:color w:val="000000"/>
                <w:kern w:val="0"/>
                <w:sz w:val="24"/>
                <w:szCs w:val="24"/>
              </w:rPr>
              <w:t>步骤</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sz w:val="24"/>
                <w:szCs w:val="24"/>
              </w:rPr>
            </w:pPr>
            <w:r>
              <w:rPr>
                <w:rFonts w:ascii="黑体" w:eastAsia="黑体" w:hAnsi="宋体" w:cs="黑体" w:hint="eastAsia"/>
                <w:color w:val="000000"/>
                <w:kern w:val="0"/>
                <w:sz w:val="24"/>
                <w:szCs w:val="24"/>
              </w:rPr>
              <w:t>说明</w:t>
            </w:r>
          </w:p>
        </w:tc>
      </w:tr>
      <w:tr w:rsidR="00F072CF" w:rsidTr="001D759F">
        <w:trPr>
          <w:trHeight w:val="40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kern w:val="0"/>
                <w:sz w:val="24"/>
                <w:szCs w:val="24"/>
              </w:rPr>
            </w:pPr>
            <w:bookmarkStart w:id="1" w:name="_Hlk120022328"/>
            <w:r>
              <w:rPr>
                <w:rFonts w:ascii="黑体" w:eastAsia="黑体" w:hAnsi="宋体" w:cs="黑体" w:hint="eastAsia"/>
                <w:color w:val="000000"/>
                <w:kern w:val="0"/>
                <w:sz w:val="24"/>
                <w:szCs w:val="24"/>
              </w:rPr>
              <w:t>1</w:t>
            </w:r>
          </w:p>
        </w:tc>
        <w:tc>
          <w:tcPr>
            <w:tcW w:w="0" w:type="auto"/>
            <w:vMerge w:val="restart"/>
            <w:tcBorders>
              <w:top w:val="single" w:sz="4" w:space="0" w:color="000000"/>
              <w:left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kern w:val="0"/>
                <w:sz w:val="24"/>
                <w:szCs w:val="24"/>
              </w:rPr>
            </w:pPr>
            <w:r>
              <w:rPr>
                <w:rFonts w:ascii="仿宋_GB2312" w:eastAsia="仿宋_GB2312" w:hAnsi="等线" w:cs="仿宋_GB2312"/>
                <w:color w:val="000000"/>
                <w:kern w:val="0"/>
                <w:sz w:val="22"/>
              </w:rPr>
              <w:t>二代</w:t>
            </w:r>
            <w:r>
              <w:rPr>
                <w:rFonts w:ascii="仿宋_GB2312" w:eastAsia="仿宋_GB2312" w:hAnsi="等线" w:cs="仿宋_GB2312" w:hint="eastAsia"/>
                <w:color w:val="000000"/>
                <w:kern w:val="0"/>
                <w:sz w:val="22"/>
              </w:rPr>
              <w:t>测试</w:t>
            </w:r>
            <w:r>
              <w:rPr>
                <w:rFonts w:ascii="仿宋_GB2312" w:eastAsia="仿宋_GB2312" w:hAnsi="等线" w:cs="仿宋_GB2312"/>
                <w:color w:val="000000"/>
                <w:kern w:val="0"/>
                <w:sz w:val="22"/>
              </w:rPr>
              <w:t>环境（切换准备）</w:t>
            </w: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金融机构梳理数据并制定系统设计文档</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金融机构应组织人员熟悉《二代央行内部（企业）评级系统数据采集规范》，制定《二代央行内部（企业）评级系统数据采集功能系统设计文档》。</w:t>
            </w:r>
          </w:p>
        </w:tc>
      </w:tr>
      <w:bookmarkEnd w:id="1"/>
      <w:tr w:rsidR="00F072CF" w:rsidTr="001D759F">
        <w:trPr>
          <w:trHeight w:val="1074"/>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kern w:val="0"/>
                <w:sz w:val="24"/>
                <w:szCs w:val="24"/>
              </w:rPr>
            </w:pPr>
            <w:r>
              <w:rPr>
                <w:rFonts w:ascii="黑体" w:eastAsia="黑体" w:hAnsi="宋体" w:cs="黑体" w:hint="eastAsia"/>
                <w:color w:val="000000"/>
                <w:kern w:val="0"/>
                <w:sz w:val="24"/>
                <w:szCs w:val="24"/>
              </w:rPr>
              <w:t>2</w:t>
            </w:r>
          </w:p>
        </w:tc>
        <w:tc>
          <w:tcPr>
            <w:tcW w:w="0" w:type="auto"/>
            <w:vMerge/>
            <w:tcBorders>
              <w:left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kern w:val="0"/>
                <w:sz w:val="24"/>
                <w:szCs w:val="24"/>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bookmarkStart w:id="2" w:name="_Hlk120022368"/>
            <w:r w:rsidRPr="00393AF5">
              <w:rPr>
                <w:rFonts w:ascii="仿宋_GB2312" w:eastAsia="仿宋_GB2312" w:hAnsi="等线" w:cs="仿宋_GB2312" w:hint="eastAsia"/>
                <w:color w:val="000000"/>
                <w:kern w:val="0"/>
                <w:sz w:val="22"/>
              </w:rPr>
              <w:t>金融机构自行开发接口程序</w:t>
            </w:r>
            <w:bookmarkEnd w:id="2"/>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bookmarkStart w:id="3" w:name="_Hlk120022382"/>
            <w:r w:rsidRPr="00393AF5">
              <w:rPr>
                <w:rFonts w:ascii="仿宋_GB2312" w:eastAsia="仿宋_GB2312" w:hAnsi="等线" w:cs="仿宋_GB2312" w:hint="eastAsia"/>
                <w:color w:val="000000"/>
                <w:kern w:val="0"/>
                <w:sz w:val="22"/>
              </w:rPr>
              <w:t>金融机构完成接口程序开发和内部测试后，经分中心同意，可向征信中心申请在测试环境下开展二代央行内部（企业）评级系统联调测试。</w:t>
            </w:r>
            <w:bookmarkEnd w:id="3"/>
          </w:p>
        </w:tc>
      </w:tr>
      <w:tr w:rsidR="00F072CF" w:rsidTr="001D759F">
        <w:trPr>
          <w:trHeight w:val="104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kern w:val="0"/>
                <w:sz w:val="24"/>
                <w:szCs w:val="24"/>
              </w:rPr>
            </w:pPr>
            <w:r>
              <w:rPr>
                <w:rFonts w:ascii="黑体" w:eastAsia="黑体" w:hAnsi="宋体" w:cs="黑体" w:hint="eastAsia"/>
                <w:color w:val="000000"/>
                <w:kern w:val="0"/>
                <w:sz w:val="24"/>
                <w:szCs w:val="24"/>
              </w:rPr>
              <w:t>3</w:t>
            </w:r>
          </w:p>
        </w:tc>
        <w:tc>
          <w:tcPr>
            <w:tcW w:w="0" w:type="auto"/>
            <w:vMerge/>
            <w:tcBorders>
              <w:left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kern w:val="0"/>
                <w:sz w:val="24"/>
                <w:szCs w:val="24"/>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测试账户申请</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征信中心根据申请组织上海资信为金融机构开通测试环境下二代央行内部（企业）评级系统测试账号。</w:t>
            </w:r>
          </w:p>
        </w:tc>
      </w:tr>
      <w:tr w:rsidR="00F072CF" w:rsidTr="001D759F">
        <w:trPr>
          <w:trHeight w:val="40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kern w:val="0"/>
                <w:sz w:val="24"/>
                <w:szCs w:val="24"/>
              </w:rPr>
            </w:pPr>
            <w:r>
              <w:rPr>
                <w:rFonts w:ascii="黑体" w:eastAsia="黑体" w:hAnsi="宋体" w:cs="黑体" w:hint="eastAsia"/>
                <w:color w:val="000000"/>
                <w:kern w:val="0"/>
                <w:sz w:val="24"/>
                <w:szCs w:val="24"/>
              </w:rPr>
              <w:t>4</w:t>
            </w:r>
          </w:p>
        </w:tc>
        <w:tc>
          <w:tcPr>
            <w:tcW w:w="0" w:type="auto"/>
            <w:vMerge/>
            <w:tcBorders>
              <w:left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kern w:val="0"/>
                <w:sz w:val="24"/>
                <w:szCs w:val="24"/>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接口程序验收</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征信中心组织专业机构完成联调测试。</w:t>
            </w:r>
          </w:p>
        </w:tc>
      </w:tr>
      <w:tr w:rsidR="00F072CF" w:rsidTr="001D759F">
        <w:trPr>
          <w:trHeight w:val="40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黑体" w:eastAsia="黑体" w:hAnsi="宋体" w:cs="黑体"/>
                <w:color w:val="000000"/>
                <w:kern w:val="0"/>
                <w:sz w:val="24"/>
                <w:szCs w:val="24"/>
              </w:rPr>
            </w:pPr>
            <w:r>
              <w:rPr>
                <w:rFonts w:ascii="黑体" w:eastAsia="黑体" w:hAnsi="宋体" w:cs="黑体" w:hint="eastAsia"/>
                <w:color w:val="000000"/>
                <w:kern w:val="0"/>
                <w:sz w:val="24"/>
                <w:szCs w:val="24"/>
              </w:rPr>
              <w:t>5</w:t>
            </w:r>
          </w:p>
        </w:tc>
        <w:tc>
          <w:tcPr>
            <w:tcW w:w="0" w:type="auto"/>
            <w:vMerge/>
            <w:tcBorders>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黑体" w:eastAsia="黑体" w:hAnsi="宋体" w:cs="黑体"/>
                <w:color w:val="000000"/>
                <w:kern w:val="0"/>
                <w:sz w:val="24"/>
                <w:szCs w:val="24"/>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接口程序验收评估</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征信中心根据机构提交的申请表及附件材料，对金融机构切换准备情况进行评估。</w:t>
            </w:r>
          </w:p>
        </w:tc>
      </w:tr>
      <w:tr w:rsidR="00F072CF" w:rsidTr="001D759F">
        <w:trPr>
          <w:trHeight w:val="696"/>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6</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一代</w:t>
            </w:r>
            <w:r>
              <w:rPr>
                <w:rFonts w:ascii="仿宋_GB2312" w:eastAsia="仿宋_GB2312" w:hAnsi="等线" w:cs="仿宋_GB2312" w:hint="eastAsia"/>
                <w:color w:val="000000"/>
                <w:kern w:val="0"/>
                <w:sz w:val="22"/>
              </w:rPr>
              <w:t>生产</w:t>
            </w:r>
            <w:r>
              <w:rPr>
                <w:rFonts w:ascii="仿宋_GB2312" w:eastAsia="仿宋_GB2312" w:hAnsi="等线" w:cs="仿宋_GB2312"/>
                <w:color w:val="000000"/>
                <w:kern w:val="0"/>
                <w:sz w:val="22"/>
              </w:rPr>
              <w:t>环境（切换准备）</w:t>
            </w: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w:t>
            </w:r>
            <w:r w:rsidRPr="00393AF5">
              <w:rPr>
                <w:rFonts w:ascii="仿宋_GB2312" w:eastAsia="仿宋_GB2312" w:hAnsi="等线" w:cs="仿宋_GB2312"/>
                <w:color w:val="000000"/>
                <w:kern w:val="0"/>
                <w:sz w:val="22"/>
              </w:rPr>
              <w:t>机构</w:t>
            </w:r>
            <w:r w:rsidRPr="00393AF5">
              <w:rPr>
                <w:rFonts w:ascii="仿宋_GB2312" w:eastAsia="仿宋_GB2312" w:hAnsi="等线" w:cs="仿宋_GB2312" w:hint="eastAsia"/>
                <w:color w:val="000000"/>
                <w:kern w:val="0"/>
                <w:sz w:val="22"/>
              </w:rPr>
              <w:t>沟通</w:t>
            </w:r>
            <w:r w:rsidRPr="00393AF5">
              <w:rPr>
                <w:rFonts w:ascii="仿宋_GB2312" w:eastAsia="仿宋_GB2312" w:hAnsi="等线" w:cs="仿宋_GB2312"/>
                <w:color w:val="000000"/>
                <w:kern w:val="0"/>
                <w:sz w:val="22"/>
              </w:rPr>
              <w:t>确定一代</w:t>
            </w:r>
            <w:r w:rsidRPr="00393AF5">
              <w:rPr>
                <w:rFonts w:ascii="仿宋_GB2312" w:eastAsia="仿宋_GB2312" w:hAnsi="等线" w:cs="仿宋_GB2312" w:hint="eastAsia"/>
                <w:color w:val="000000"/>
                <w:kern w:val="0"/>
                <w:sz w:val="22"/>
              </w:rPr>
              <w:t>系统</w:t>
            </w:r>
            <w:r w:rsidRPr="00393AF5">
              <w:rPr>
                <w:rFonts w:ascii="仿宋_GB2312" w:eastAsia="仿宋_GB2312" w:hAnsi="等线" w:cs="仿宋_GB2312"/>
                <w:color w:val="000000"/>
                <w:kern w:val="0"/>
                <w:sz w:val="22"/>
              </w:rPr>
              <w:t>报送截止日。</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color w:val="000000"/>
                <w:kern w:val="0"/>
                <w:sz w:val="22"/>
              </w:rPr>
              <w:t>一代</w:t>
            </w:r>
            <w:r w:rsidRPr="00393AF5">
              <w:rPr>
                <w:rFonts w:ascii="仿宋_GB2312" w:eastAsia="仿宋_GB2312" w:hAnsi="等线" w:cs="仿宋_GB2312" w:hint="eastAsia"/>
                <w:color w:val="000000"/>
                <w:kern w:val="0"/>
                <w:sz w:val="22"/>
              </w:rPr>
              <w:t>系统</w:t>
            </w:r>
            <w:r w:rsidRPr="00393AF5">
              <w:rPr>
                <w:rFonts w:ascii="仿宋_GB2312" w:eastAsia="仿宋_GB2312" w:hAnsi="等线" w:cs="仿宋_GB2312"/>
                <w:color w:val="000000"/>
                <w:kern w:val="0"/>
                <w:sz w:val="22"/>
              </w:rPr>
              <w:t>报送截止日</w:t>
            </w:r>
            <w:r w:rsidRPr="00393AF5">
              <w:rPr>
                <w:rFonts w:ascii="仿宋_GB2312" w:eastAsia="仿宋_GB2312" w:hAnsi="等线" w:cs="仿宋_GB2312" w:hint="eastAsia"/>
                <w:color w:val="000000"/>
                <w:kern w:val="0"/>
                <w:sz w:val="22"/>
              </w:rPr>
              <w:t>是指</w:t>
            </w:r>
            <w:bookmarkStart w:id="4" w:name="_Hlk119933786"/>
            <w:r w:rsidRPr="00393AF5">
              <w:rPr>
                <w:rFonts w:ascii="仿宋_GB2312" w:eastAsia="仿宋_GB2312" w:hAnsi="等线" w:cs="仿宋_GB2312" w:hint="eastAsia"/>
                <w:color w:val="000000"/>
                <w:kern w:val="0"/>
                <w:sz w:val="22"/>
              </w:rPr>
              <w:t>金融</w:t>
            </w:r>
            <w:bookmarkEnd w:id="4"/>
            <w:r w:rsidRPr="00393AF5">
              <w:rPr>
                <w:rFonts w:ascii="仿宋_GB2312" w:eastAsia="仿宋_GB2312" w:hAnsi="等线" w:cs="仿宋_GB2312" w:hint="eastAsia"/>
                <w:color w:val="000000"/>
                <w:kern w:val="0"/>
                <w:sz w:val="22"/>
              </w:rPr>
              <w:t>机构确定的</w:t>
            </w:r>
            <w:r w:rsidRPr="00393AF5">
              <w:rPr>
                <w:rFonts w:ascii="仿宋_GB2312" w:eastAsia="仿宋_GB2312" w:hAnsi="等线" w:cs="仿宋_GB2312"/>
                <w:color w:val="000000"/>
                <w:kern w:val="0"/>
                <w:sz w:val="22"/>
              </w:rPr>
              <w:t>最后一次</w:t>
            </w:r>
            <w:r w:rsidRPr="00393AF5">
              <w:rPr>
                <w:rFonts w:ascii="仿宋_GB2312" w:eastAsia="仿宋_GB2312" w:hAnsi="等线" w:cs="仿宋_GB2312" w:hint="eastAsia"/>
                <w:color w:val="000000"/>
                <w:kern w:val="0"/>
                <w:sz w:val="22"/>
              </w:rPr>
              <w:t>向</w:t>
            </w:r>
            <w:r w:rsidRPr="00393AF5">
              <w:rPr>
                <w:rFonts w:ascii="仿宋_GB2312" w:eastAsia="仿宋_GB2312" w:hAnsi="等线" w:cs="仿宋_GB2312"/>
                <w:color w:val="000000"/>
                <w:kern w:val="0"/>
                <w:sz w:val="22"/>
              </w:rPr>
              <w:t>一代</w:t>
            </w:r>
            <w:r w:rsidRPr="00393AF5">
              <w:rPr>
                <w:rFonts w:ascii="仿宋_GB2312" w:eastAsia="仿宋_GB2312" w:hAnsi="等线" w:cs="仿宋_GB2312" w:hint="eastAsia"/>
                <w:color w:val="000000"/>
                <w:kern w:val="0"/>
                <w:sz w:val="22"/>
              </w:rPr>
              <w:t>系统</w:t>
            </w:r>
            <w:r w:rsidRPr="00393AF5">
              <w:rPr>
                <w:rFonts w:ascii="仿宋_GB2312" w:eastAsia="仿宋_GB2312" w:hAnsi="等线" w:cs="仿宋_GB2312"/>
                <w:color w:val="000000"/>
                <w:kern w:val="0"/>
                <w:sz w:val="22"/>
              </w:rPr>
              <w:t>报送数据</w:t>
            </w:r>
            <w:r w:rsidRPr="00393AF5">
              <w:rPr>
                <w:rFonts w:ascii="仿宋_GB2312" w:eastAsia="仿宋_GB2312" w:hAnsi="等线" w:cs="仿宋_GB2312" w:hint="eastAsia"/>
                <w:color w:val="000000"/>
                <w:kern w:val="0"/>
                <w:sz w:val="22"/>
              </w:rPr>
              <w:t>的</w:t>
            </w:r>
            <w:r w:rsidRPr="00393AF5">
              <w:rPr>
                <w:rFonts w:ascii="仿宋_GB2312" w:eastAsia="仿宋_GB2312" w:hAnsi="等线" w:cs="仿宋_GB2312"/>
                <w:color w:val="000000"/>
                <w:kern w:val="0"/>
                <w:sz w:val="22"/>
              </w:rPr>
              <w:t>日期。</w:t>
            </w:r>
          </w:p>
        </w:tc>
      </w:tr>
      <w:tr w:rsidR="00F072CF" w:rsidTr="001D759F">
        <w:trPr>
          <w:trHeight w:val="696"/>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7</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w:t>
            </w:r>
            <w:r w:rsidRPr="00393AF5">
              <w:rPr>
                <w:rFonts w:ascii="仿宋_GB2312" w:eastAsia="仿宋_GB2312" w:hAnsi="等线" w:cs="仿宋_GB2312"/>
                <w:color w:val="000000"/>
                <w:kern w:val="0"/>
                <w:sz w:val="22"/>
              </w:rPr>
              <w:t>机构</w:t>
            </w:r>
            <w:r w:rsidRPr="00393AF5">
              <w:rPr>
                <w:rFonts w:ascii="仿宋_GB2312" w:eastAsia="仿宋_GB2312" w:hAnsi="等线" w:cs="仿宋_GB2312" w:hint="eastAsia"/>
                <w:color w:val="000000"/>
                <w:kern w:val="0"/>
                <w:sz w:val="22"/>
              </w:rPr>
              <w:t>确认机构评级企业数据状态。</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确认数据状态是数据迁移的前置环节。可迁移的企业数据状态为未处理、待审查、待复测和已定级，已进入评级流程的企业数据不能迁移；其他数据迁移无限制</w:t>
            </w:r>
            <w:r w:rsidRPr="00393AF5">
              <w:rPr>
                <w:rFonts w:ascii="仿宋_GB2312" w:eastAsia="仿宋_GB2312" w:hAnsi="等线" w:cs="仿宋_GB2312"/>
                <w:color w:val="000000"/>
                <w:kern w:val="0"/>
                <w:sz w:val="22"/>
              </w:rPr>
              <w:t>。</w:t>
            </w:r>
          </w:p>
        </w:tc>
      </w:tr>
      <w:tr w:rsidR="00F072CF" w:rsidTr="001D759F">
        <w:trPr>
          <w:trHeight w:val="696"/>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kern w:val="0"/>
                <w:sz w:val="22"/>
              </w:rPr>
            </w:pPr>
            <w:r>
              <w:rPr>
                <w:rFonts w:ascii="仿宋_GB2312" w:eastAsia="仿宋_GB2312" w:hAnsi="等线" w:cs="仿宋_GB2312" w:hint="eastAsia"/>
                <w:color w:val="000000"/>
                <w:kern w:val="0"/>
                <w:sz w:val="22"/>
              </w:rPr>
              <w:t>8</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金融机构确定数据迁移日期，开展增量数据迁移</w:t>
            </w:r>
            <w:r w:rsidRPr="00393AF5">
              <w:rPr>
                <w:rFonts w:ascii="仿宋_GB2312" w:eastAsia="仿宋_GB2312" w:hAnsi="等线" w:cs="仿宋_GB2312"/>
                <w:color w:val="000000"/>
                <w:kern w:val="0"/>
                <w:sz w:val="22"/>
              </w:rPr>
              <w:t>。</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2022年9月2</w:t>
            </w:r>
            <w:r w:rsidRPr="00393AF5">
              <w:rPr>
                <w:rFonts w:ascii="仿宋_GB2312" w:eastAsia="仿宋_GB2312" w:hAnsi="等线" w:cs="仿宋_GB2312"/>
                <w:color w:val="000000"/>
                <w:kern w:val="0"/>
                <w:sz w:val="22"/>
              </w:rPr>
              <w:t>1</w:t>
            </w:r>
            <w:r w:rsidRPr="00393AF5">
              <w:rPr>
                <w:rFonts w:ascii="仿宋_GB2312" w:eastAsia="仿宋_GB2312" w:hAnsi="等线" w:cs="仿宋_GB2312" w:hint="eastAsia"/>
                <w:color w:val="000000"/>
                <w:kern w:val="0"/>
                <w:sz w:val="22"/>
              </w:rPr>
              <w:t>日前的存量数据已迁移至二代系统。增量数据</w:t>
            </w:r>
            <w:proofErr w:type="gramStart"/>
            <w:r w:rsidRPr="00393AF5">
              <w:rPr>
                <w:rFonts w:ascii="仿宋_GB2312" w:eastAsia="仿宋_GB2312" w:hAnsi="等线" w:cs="仿宋_GB2312" w:hint="eastAsia"/>
                <w:color w:val="000000"/>
                <w:kern w:val="0"/>
                <w:sz w:val="22"/>
              </w:rPr>
              <w:t>迁移指</w:t>
            </w:r>
            <w:proofErr w:type="gramEnd"/>
            <w:r w:rsidRPr="00393AF5">
              <w:rPr>
                <w:rFonts w:ascii="仿宋_GB2312" w:eastAsia="仿宋_GB2312" w:hAnsi="等线" w:cs="仿宋_GB2312" w:hint="eastAsia"/>
                <w:color w:val="000000"/>
                <w:kern w:val="0"/>
                <w:sz w:val="22"/>
              </w:rPr>
              <w:t>对金融机构在二代央行内部（企业）评级系统上线日（2022年9月28日）</w:t>
            </w:r>
            <w:proofErr w:type="gramStart"/>
            <w:r w:rsidRPr="00393AF5">
              <w:rPr>
                <w:rFonts w:ascii="仿宋_GB2312" w:eastAsia="仿宋_GB2312" w:hAnsi="等线" w:cs="仿宋_GB2312" w:hint="eastAsia"/>
                <w:color w:val="000000"/>
                <w:kern w:val="0"/>
                <w:sz w:val="22"/>
              </w:rPr>
              <w:t>至数据</w:t>
            </w:r>
            <w:proofErr w:type="gramEnd"/>
            <w:r w:rsidRPr="00393AF5">
              <w:rPr>
                <w:rFonts w:ascii="仿宋_GB2312" w:eastAsia="仿宋_GB2312" w:hAnsi="等线" w:cs="仿宋_GB2312" w:hint="eastAsia"/>
                <w:color w:val="000000"/>
                <w:kern w:val="0"/>
                <w:sz w:val="22"/>
              </w:rPr>
              <w:t>迁移日之间的数据进行迁移</w:t>
            </w:r>
            <w:r w:rsidRPr="00393AF5">
              <w:rPr>
                <w:rFonts w:ascii="仿宋_GB2312" w:eastAsia="仿宋_GB2312" w:hAnsi="等线" w:cs="仿宋_GB2312"/>
                <w:color w:val="000000"/>
                <w:kern w:val="0"/>
                <w:sz w:val="22"/>
              </w:rPr>
              <w:t>。</w:t>
            </w:r>
          </w:p>
        </w:tc>
      </w:tr>
      <w:tr w:rsidR="00F072CF" w:rsidTr="001D759F">
        <w:trPr>
          <w:trHeight w:val="696"/>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9</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金融机构对迁移后的</w:t>
            </w:r>
            <w:r w:rsidRPr="00393AF5">
              <w:rPr>
                <w:rFonts w:ascii="仿宋_GB2312" w:eastAsia="仿宋_GB2312" w:hAnsi="等线" w:cs="仿宋_GB2312"/>
                <w:color w:val="000000"/>
                <w:kern w:val="0"/>
                <w:sz w:val="22"/>
              </w:rPr>
              <w:t>数据</w:t>
            </w:r>
            <w:r w:rsidRPr="00393AF5">
              <w:rPr>
                <w:rFonts w:ascii="仿宋_GB2312" w:eastAsia="仿宋_GB2312" w:hAnsi="等线" w:cs="仿宋_GB2312" w:hint="eastAsia"/>
                <w:color w:val="000000"/>
                <w:kern w:val="0"/>
                <w:sz w:val="22"/>
              </w:rPr>
              <w:t>进行确认。</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金融机构对比一二代央行内部（企业）评级系统数据，核实数据的完整性、准确性，确认后通知上海资信。</w:t>
            </w:r>
          </w:p>
        </w:tc>
      </w:tr>
      <w:tr w:rsidR="00F072CF" w:rsidTr="001D759F">
        <w:trPr>
          <w:trHeight w:val="139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10</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二代</w:t>
            </w:r>
            <w:r>
              <w:rPr>
                <w:rFonts w:ascii="仿宋_GB2312" w:eastAsia="仿宋_GB2312" w:hAnsi="等线" w:cs="仿宋_GB2312" w:hint="eastAsia"/>
                <w:color w:val="000000"/>
                <w:kern w:val="0"/>
                <w:sz w:val="22"/>
              </w:rPr>
              <w:t>生产</w:t>
            </w:r>
            <w:r>
              <w:rPr>
                <w:rFonts w:ascii="仿宋_GB2312" w:eastAsia="仿宋_GB2312" w:hAnsi="等线" w:cs="仿宋_GB2312"/>
                <w:color w:val="000000"/>
                <w:kern w:val="0"/>
                <w:sz w:val="22"/>
              </w:rPr>
              <w:t>环境（切换准备）</w:t>
            </w: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人民银行省级分支机构和全国性金融机构向征信中心申请数字证书；金融机构向管辖地人民银行分支机构申请数据证书。</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具体操作参考《央行内部（企业）评级系统数字证书管理办法》</w:t>
            </w:r>
            <w:r w:rsidRPr="00393AF5">
              <w:rPr>
                <w:rFonts w:ascii="仿宋_GB2312" w:eastAsia="仿宋_GB2312" w:hAnsi="等线" w:cs="仿宋_GB2312"/>
                <w:color w:val="000000"/>
                <w:kern w:val="0"/>
                <w:sz w:val="22"/>
              </w:rPr>
              <w:t>。</w:t>
            </w:r>
          </w:p>
        </w:tc>
      </w:tr>
      <w:tr w:rsidR="00F072CF" w:rsidTr="001D759F">
        <w:trPr>
          <w:trHeight w:val="1044"/>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11</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金融机构确认二代央行内部（企业）评级系统管理员用户权</w:t>
            </w:r>
            <w:r w:rsidRPr="00393AF5">
              <w:rPr>
                <w:rFonts w:ascii="仿宋_GB2312" w:eastAsia="仿宋_GB2312" w:hAnsi="等线" w:cs="仿宋_GB2312" w:hint="eastAsia"/>
                <w:color w:val="000000"/>
                <w:kern w:val="0"/>
                <w:sz w:val="22"/>
              </w:rPr>
              <w:lastRenderedPageBreak/>
              <w:t>限，创建或更新操作用户及权限。</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lastRenderedPageBreak/>
              <w:t>确认本机构管理员用户是否存在及权限是否正常，机构操作员由机构管理员维护</w:t>
            </w:r>
            <w:r w:rsidRPr="00393AF5">
              <w:rPr>
                <w:rFonts w:ascii="仿宋_GB2312" w:eastAsia="仿宋_GB2312" w:hAnsi="等线" w:cs="仿宋_GB2312"/>
                <w:color w:val="000000"/>
                <w:kern w:val="0"/>
                <w:sz w:val="22"/>
              </w:rPr>
              <w:t>。</w:t>
            </w:r>
          </w:p>
        </w:tc>
      </w:tr>
      <w:tr w:rsidR="00F072CF" w:rsidTr="001D759F">
        <w:trPr>
          <w:trHeight w:val="10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lastRenderedPageBreak/>
              <w:t>12</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tcPr>
          <w:p w:rsidR="00F072CF" w:rsidRDefault="00F072CF" w:rsidP="001D759F">
            <w:pPr>
              <w:rPr>
                <w:rFonts w:ascii="仿宋_GB2312" w:eastAsia="仿宋_GB2312" w:hAnsi="等线" w:cs="仿宋_GB2312"/>
                <w:color w:val="000000"/>
                <w:sz w:val="22"/>
              </w:rPr>
            </w:pPr>
            <w:r>
              <w:rPr>
                <w:rFonts w:ascii="仿宋_GB2312" w:eastAsia="仿宋_GB2312" w:hAnsi="等线" w:cs="仿宋_GB2312"/>
                <w:color w:val="000000"/>
                <w:kern w:val="0"/>
                <w:sz w:val="22"/>
              </w:rPr>
              <w:t>二代</w:t>
            </w:r>
            <w:r>
              <w:rPr>
                <w:rFonts w:ascii="仿宋_GB2312" w:eastAsia="仿宋_GB2312" w:hAnsi="等线" w:cs="仿宋_GB2312" w:hint="eastAsia"/>
                <w:color w:val="000000"/>
                <w:kern w:val="0"/>
                <w:sz w:val="22"/>
              </w:rPr>
              <w:t>生产</w:t>
            </w:r>
            <w:r>
              <w:rPr>
                <w:rFonts w:ascii="仿宋_GB2312" w:eastAsia="仿宋_GB2312" w:hAnsi="等线" w:cs="仿宋_GB2312"/>
                <w:color w:val="000000"/>
                <w:kern w:val="0"/>
                <w:sz w:val="22"/>
              </w:rPr>
              <w:t>环境（正式报送）</w:t>
            </w: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w:t>
            </w:r>
            <w:r w:rsidRPr="00393AF5">
              <w:rPr>
                <w:rFonts w:ascii="仿宋_GB2312" w:eastAsia="仿宋_GB2312" w:hAnsi="等线" w:cs="仿宋_GB2312"/>
                <w:color w:val="000000"/>
                <w:kern w:val="0"/>
                <w:sz w:val="22"/>
              </w:rPr>
              <w:t>机构通过报文报送</w:t>
            </w:r>
            <w:r w:rsidRPr="00393AF5">
              <w:rPr>
                <w:rFonts w:ascii="仿宋_GB2312" w:eastAsia="仿宋_GB2312" w:hAnsi="等线" w:cs="仿宋_GB2312" w:hint="eastAsia"/>
                <w:color w:val="000000"/>
                <w:kern w:val="0"/>
                <w:sz w:val="22"/>
              </w:rPr>
              <w:t>增量企业评级信息数据</w:t>
            </w:r>
            <w:r w:rsidRPr="00393AF5">
              <w:rPr>
                <w:rFonts w:ascii="仿宋_GB2312" w:eastAsia="仿宋_GB2312" w:hAnsi="等线" w:cs="仿宋_GB2312"/>
                <w:color w:val="000000"/>
                <w:kern w:val="0"/>
                <w:sz w:val="22"/>
              </w:rPr>
              <w:t>。</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金融机构在一代系统中</w:t>
            </w:r>
            <w:r w:rsidRPr="00393AF5">
              <w:rPr>
                <w:rFonts w:ascii="仿宋_GB2312" w:eastAsia="仿宋_GB2312" w:hAnsi="等线" w:cs="仿宋_GB2312"/>
                <w:color w:val="000000"/>
                <w:kern w:val="0"/>
                <w:sz w:val="22"/>
              </w:rPr>
              <w:t>报送截止日</w:t>
            </w:r>
            <w:r w:rsidRPr="00393AF5">
              <w:rPr>
                <w:rFonts w:ascii="仿宋_GB2312" w:eastAsia="仿宋_GB2312" w:hAnsi="等线" w:cs="仿宋_GB2312" w:hint="eastAsia"/>
                <w:color w:val="000000"/>
                <w:kern w:val="0"/>
                <w:sz w:val="22"/>
              </w:rPr>
              <w:t>前的存量数据已完成迁移，在二代系统中报送的数据为</w:t>
            </w:r>
            <w:r w:rsidRPr="00393AF5">
              <w:rPr>
                <w:rFonts w:ascii="仿宋_GB2312" w:eastAsia="仿宋_GB2312" w:hAnsi="等线" w:cs="仿宋_GB2312"/>
                <w:color w:val="000000"/>
                <w:kern w:val="0"/>
                <w:sz w:val="22"/>
              </w:rPr>
              <w:t>报送截止日</w:t>
            </w:r>
            <w:r w:rsidRPr="00393AF5">
              <w:rPr>
                <w:rFonts w:ascii="仿宋_GB2312" w:eastAsia="仿宋_GB2312" w:hAnsi="等线" w:cs="仿宋_GB2312" w:hint="eastAsia"/>
                <w:color w:val="000000"/>
                <w:kern w:val="0"/>
                <w:sz w:val="22"/>
              </w:rPr>
              <w:t>后的增量数据。</w:t>
            </w:r>
          </w:p>
        </w:tc>
      </w:tr>
      <w:tr w:rsidR="00F072CF" w:rsidTr="001D759F">
        <w:trPr>
          <w:trHeight w:val="1044"/>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13</w:t>
            </w:r>
          </w:p>
        </w:tc>
        <w:tc>
          <w:tcPr>
            <w:tcW w:w="0" w:type="auto"/>
            <w:vMerge/>
            <w:tcBorders>
              <w:top w:val="nil"/>
              <w:left w:val="single" w:sz="4" w:space="0" w:color="000000"/>
              <w:bottom w:val="single" w:sz="4" w:space="0" w:color="000000"/>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w:t>
            </w:r>
            <w:r w:rsidRPr="00393AF5">
              <w:rPr>
                <w:rFonts w:ascii="仿宋_GB2312" w:eastAsia="仿宋_GB2312" w:hAnsi="等线" w:cs="仿宋_GB2312"/>
                <w:color w:val="000000"/>
                <w:kern w:val="0"/>
                <w:sz w:val="22"/>
              </w:rPr>
              <w:t>通过报文报送</w:t>
            </w:r>
            <w:r w:rsidRPr="00393AF5">
              <w:rPr>
                <w:rFonts w:ascii="仿宋_GB2312" w:eastAsia="仿宋_GB2312" w:hAnsi="等线" w:cs="仿宋_GB2312" w:hint="eastAsia"/>
                <w:color w:val="000000"/>
                <w:kern w:val="0"/>
                <w:sz w:val="22"/>
              </w:rPr>
              <w:t>合格企业的</w:t>
            </w:r>
            <w:r w:rsidRPr="00393AF5">
              <w:rPr>
                <w:rFonts w:ascii="仿宋_GB2312" w:eastAsia="仿宋_GB2312" w:hAnsi="等线" w:cs="仿宋_GB2312"/>
                <w:color w:val="000000"/>
                <w:kern w:val="0"/>
                <w:sz w:val="22"/>
              </w:rPr>
              <w:t>信贷</w:t>
            </w:r>
            <w:r w:rsidRPr="00393AF5">
              <w:rPr>
                <w:rFonts w:ascii="仿宋_GB2312" w:eastAsia="仿宋_GB2312" w:hAnsi="等线" w:cs="仿宋_GB2312" w:hint="eastAsia"/>
                <w:color w:val="000000"/>
                <w:kern w:val="0"/>
                <w:sz w:val="22"/>
              </w:rPr>
              <w:t>信息数据</w:t>
            </w:r>
            <w:r w:rsidRPr="00393AF5">
              <w:rPr>
                <w:rFonts w:ascii="仿宋_GB2312" w:eastAsia="仿宋_GB2312" w:hAnsi="等线" w:cs="仿宋_GB2312"/>
                <w:color w:val="000000"/>
                <w:kern w:val="0"/>
                <w:sz w:val="22"/>
              </w:rPr>
              <w:t>。</w:t>
            </w:r>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p>
        </w:tc>
      </w:tr>
      <w:tr w:rsidR="00F072CF" w:rsidTr="001D759F">
        <w:trPr>
          <w:trHeight w:val="348"/>
        </w:trPr>
        <w:tc>
          <w:tcPr>
            <w:tcW w:w="0" w:type="auto"/>
            <w:tcBorders>
              <w:top w:val="single" w:sz="4" w:space="0" w:color="000000"/>
              <w:left w:val="single" w:sz="4" w:space="0" w:color="000000"/>
              <w:bottom w:val="single" w:sz="4" w:space="0" w:color="auto"/>
              <w:right w:val="single" w:sz="4" w:space="0" w:color="000000"/>
            </w:tcBorders>
            <w:shd w:val="clear" w:color="auto" w:fill="auto"/>
            <w:noWrap/>
            <w:vAlign w:val="center"/>
          </w:tcPr>
          <w:p w:rsidR="00F072CF" w:rsidRDefault="00F072CF" w:rsidP="001D759F">
            <w:pPr>
              <w:widowControl/>
              <w:jc w:val="center"/>
              <w:textAlignment w:val="center"/>
              <w:rPr>
                <w:rFonts w:ascii="仿宋_GB2312" w:eastAsia="仿宋_GB2312" w:hAnsi="等线" w:cs="仿宋_GB2312"/>
                <w:color w:val="000000"/>
                <w:sz w:val="22"/>
              </w:rPr>
            </w:pPr>
            <w:r>
              <w:rPr>
                <w:rFonts w:ascii="仿宋_GB2312" w:eastAsia="仿宋_GB2312" w:hAnsi="等线" w:cs="仿宋_GB2312"/>
                <w:color w:val="000000"/>
                <w:kern w:val="0"/>
                <w:sz w:val="22"/>
              </w:rPr>
              <w:t>14</w:t>
            </w:r>
          </w:p>
        </w:tc>
        <w:tc>
          <w:tcPr>
            <w:tcW w:w="0" w:type="auto"/>
            <w:vMerge/>
            <w:tcBorders>
              <w:top w:val="nil"/>
              <w:left w:val="single" w:sz="4" w:space="0" w:color="000000"/>
              <w:bottom w:val="single" w:sz="4" w:space="0" w:color="auto"/>
              <w:right w:val="single" w:sz="4" w:space="0" w:color="000000"/>
            </w:tcBorders>
            <w:shd w:val="clear" w:color="auto" w:fill="auto"/>
            <w:vAlign w:val="center"/>
          </w:tcPr>
          <w:p w:rsidR="00F072CF" w:rsidRDefault="00F072CF" w:rsidP="001D759F">
            <w:pPr>
              <w:jc w:val="center"/>
              <w:rPr>
                <w:rFonts w:ascii="仿宋_GB2312" w:eastAsia="仿宋_GB2312" w:hAnsi="等线" w:cs="仿宋_GB2312"/>
                <w:color w:val="000000"/>
                <w:sz w:val="22"/>
              </w:rPr>
            </w:pPr>
          </w:p>
        </w:tc>
        <w:tc>
          <w:tcPr>
            <w:tcW w:w="2243" w:type="dxa"/>
            <w:tcBorders>
              <w:top w:val="single" w:sz="4" w:space="0" w:color="000000"/>
              <w:left w:val="single" w:sz="4" w:space="0" w:color="000000"/>
              <w:bottom w:val="single" w:sz="4" w:space="0" w:color="auto"/>
              <w:right w:val="single" w:sz="4" w:space="0" w:color="000000"/>
            </w:tcBorders>
            <w:shd w:val="clear" w:color="auto" w:fill="auto"/>
            <w:vAlign w:val="center"/>
          </w:tcPr>
          <w:p w:rsidR="00F072CF" w:rsidRPr="00393AF5" w:rsidRDefault="00F072CF" w:rsidP="001D759F">
            <w:pPr>
              <w:widowControl/>
              <w:jc w:val="left"/>
              <w:textAlignment w:val="center"/>
              <w:rPr>
                <w:rFonts w:ascii="仿宋_GB2312" w:eastAsia="仿宋_GB2312" w:hAnsi="等线" w:cs="仿宋_GB2312"/>
                <w:color w:val="000000"/>
                <w:kern w:val="0"/>
                <w:sz w:val="22"/>
              </w:rPr>
            </w:pPr>
            <w:bookmarkStart w:id="5" w:name="_Hlk120026496"/>
            <w:r w:rsidRPr="00393AF5">
              <w:rPr>
                <w:rFonts w:ascii="仿宋_GB2312" w:eastAsia="仿宋_GB2312" w:hAnsi="等线" w:cs="仿宋_GB2312" w:hint="eastAsia"/>
                <w:color w:val="000000"/>
                <w:kern w:val="0"/>
                <w:sz w:val="22"/>
              </w:rPr>
              <w:t>金融机构需持续跟踪数据报</w:t>
            </w:r>
            <w:proofErr w:type="gramStart"/>
            <w:r w:rsidRPr="00393AF5">
              <w:rPr>
                <w:rFonts w:ascii="仿宋_GB2312" w:eastAsia="仿宋_GB2312" w:hAnsi="等线" w:cs="仿宋_GB2312" w:hint="eastAsia"/>
                <w:color w:val="000000"/>
                <w:kern w:val="0"/>
                <w:sz w:val="22"/>
              </w:rPr>
              <w:t>送情况</w:t>
            </w:r>
            <w:proofErr w:type="gramEnd"/>
            <w:r w:rsidRPr="00393AF5">
              <w:rPr>
                <w:rFonts w:ascii="仿宋_GB2312" w:eastAsia="仿宋_GB2312" w:hAnsi="等线" w:cs="仿宋_GB2312" w:hint="eastAsia"/>
                <w:color w:val="000000"/>
                <w:kern w:val="0"/>
                <w:sz w:val="22"/>
              </w:rPr>
              <w:t>和数据质量</w:t>
            </w:r>
            <w:bookmarkEnd w:id="5"/>
          </w:p>
        </w:tc>
        <w:tc>
          <w:tcPr>
            <w:tcW w:w="4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72CF" w:rsidRPr="00393AF5" w:rsidRDefault="00F072CF" w:rsidP="001D759F">
            <w:pPr>
              <w:jc w:val="left"/>
              <w:rPr>
                <w:rFonts w:ascii="仿宋_GB2312" w:eastAsia="仿宋_GB2312" w:hAnsi="等线" w:cs="仿宋_GB2312"/>
                <w:color w:val="000000"/>
                <w:kern w:val="0"/>
                <w:sz w:val="22"/>
              </w:rPr>
            </w:pPr>
            <w:r w:rsidRPr="00393AF5">
              <w:rPr>
                <w:rFonts w:ascii="仿宋_GB2312" w:eastAsia="仿宋_GB2312" w:hAnsi="等线" w:cs="仿宋_GB2312" w:hint="eastAsia"/>
                <w:color w:val="000000"/>
                <w:kern w:val="0"/>
                <w:sz w:val="22"/>
              </w:rPr>
              <w:t>金融机构切换实施完成后，应继续监控数据持续入库情况，一个季度后反馈二代央行内部（企业）评级系统切换实施报告。</w:t>
            </w:r>
          </w:p>
        </w:tc>
      </w:tr>
    </w:tbl>
    <w:p w:rsidR="00F072CF" w:rsidRDefault="00F072CF" w:rsidP="00F072CF">
      <w:pPr>
        <w:rPr>
          <w:rFonts w:ascii="仿宋" w:eastAsia="仿宋" w:hAnsi="仿宋" w:cs="Times New Roman"/>
          <w:b/>
          <w:bCs/>
          <w:kern w:val="0"/>
          <w:sz w:val="32"/>
          <w:szCs w:val="32"/>
        </w:rPr>
      </w:pPr>
      <w:r>
        <w:rPr>
          <w:rFonts w:ascii="仿宋" w:eastAsia="仿宋" w:hAnsi="仿宋" w:cs="Times New Roman" w:hint="eastAsia"/>
          <w:b/>
          <w:bCs/>
          <w:kern w:val="0"/>
          <w:sz w:val="32"/>
          <w:szCs w:val="32"/>
        </w:rPr>
        <w:br w:type="page"/>
      </w:r>
    </w:p>
    <w:p w:rsidR="00E900A0" w:rsidRPr="00F072CF" w:rsidRDefault="00E900A0"/>
    <w:sectPr w:rsidR="00E900A0" w:rsidRPr="00F07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F41" w:rsidRDefault="00457F41" w:rsidP="00F072CF">
      <w:r>
        <w:separator/>
      </w:r>
    </w:p>
  </w:endnote>
  <w:endnote w:type="continuationSeparator" w:id="0">
    <w:p w:rsidR="00457F41" w:rsidRDefault="00457F41" w:rsidP="00F0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F41" w:rsidRDefault="00457F41" w:rsidP="00F072CF">
      <w:r>
        <w:separator/>
      </w:r>
    </w:p>
  </w:footnote>
  <w:footnote w:type="continuationSeparator" w:id="0">
    <w:p w:rsidR="00457F41" w:rsidRDefault="00457F41" w:rsidP="00F07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7BD1"/>
    <w:multiLevelType w:val="singleLevel"/>
    <w:tmpl w:val="765C0978"/>
    <w:lvl w:ilvl="0">
      <w:start w:val="1"/>
      <w:numFmt w:val="decimal"/>
      <w:suff w:val="nothing"/>
      <w:lvlText w:val="（%1）"/>
      <w:lvlJc w:val="left"/>
      <w:rPr>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1F"/>
    <w:rsid w:val="00000FB0"/>
    <w:rsid w:val="000036B7"/>
    <w:rsid w:val="00004637"/>
    <w:rsid w:val="00007BC1"/>
    <w:rsid w:val="00016986"/>
    <w:rsid w:val="000225BF"/>
    <w:rsid w:val="000246A0"/>
    <w:rsid w:val="0002542B"/>
    <w:rsid w:val="000309AD"/>
    <w:rsid w:val="000337A2"/>
    <w:rsid w:val="00033BBF"/>
    <w:rsid w:val="000407BA"/>
    <w:rsid w:val="00041335"/>
    <w:rsid w:val="000416D5"/>
    <w:rsid w:val="000432B0"/>
    <w:rsid w:val="00047AF1"/>
    <w:rsid w:val="0005104C"/>
    <w:rsid w:val="00052B99"/>
    <w:rsid w:val="00053FCC"/>
    <w:rsid w:val="00057E93"/>
    <w:rsid w:val="00057F2A"/>
    <w:rsid w:val="000627B8"/>
    <w:rsid w:val="0006657B"/>
    <w:rsid w:val="00072B81"/>
    <w:rsid w:val="00072E98"/>
    <w:rsid w:val="00074C82"/>
    <w:rsid w:val="00077831"/>
    <w:rsid w:val="00080F0C"/>
    <w:rsid w:val="0008453F"/>
    <w:rsid w:val="00084CC1"/>
    <w:rsid w:val="00085F28"/>
    <w:rsid w:val="000903CD"/>
    <w:rsid w:val="00091ADC"/>
    <w:rsid w:val="00092B23"/>
    <w:rsid w:val="00093A7E"/>
    <w:rsid w:val="000942F0"/>
    <w:rsid w:val="00096188"/>
    <w:rsid w:val="00096A15"/>
    <w:rsid w:val="0009710E"/>
    <w:rsid w:val="000A2337"/>
    <w:rsid w:val="000A4147"/>
    <w:rsid w:val="000A70BD"/>
    <w:rsid w:val="000A7AC3"/>
    <w:rsid w:val="000B3CEC"/>
    <w:rsid w:val="000B5F24"/>
    <w:rsid w:val="000B6EBA"/>
    <w:rsid w:val="000C2708"/>
    <w:rsid w:val="000C27E8"/>
    <w:rsid w:val="000C4A9F"/>
    <w:rsid w:val="000C4D89"/>
    <w:rsid w:val="000C529F"/>
    <w:rsid w:val="000D031F"/>
    <w:rsid w:val="000D16C9"/>
    <w:rsid w:val="000D400F"/>
    <w:rsid w:val="000D7EB2"/>
    <w:rsid w:val="000E107C"/>
    <w:rsid w:val="000E2AD1"/>
    <w:rsid w:val="000E7502"/>
    <w:rsid w:val="000E750A"/>
    <w:rsid w:val="00103C9D"/>
    <w:rsid w:val="001059A2"/>
    <w:rsid w:val="001069D4"/>
    <w:rsid w:val="00110D52"/>
    <w:rsid w:val="001134FB"/>
    <w:rsid w:val="00113543"/>
    <w:rsid w:val="00113E7A"/>
    <w:rsid w:val="00115126"/>
    <w:rsid w:val="00115A84"/>
    <w:rsid w:val="001175C9"/>
    <w:rsid w:val="0011761E"/>
    <w:rsid w:val="00117C01"/>
    <w:rsid w:val="00121A13"/>
    <w:rsid w:val="0012353D"/>
    <w:rsid w:val="001274E0"/>
    <w:rsid w:val="00127935"/>
    <w:rsid w:val="001333C5"/>
    <w:rsid w:val="00134D46"/>
    <w:rsid w:val="00134D58"/>
    <w:rsid w:val="0013625A"/>
    <w:rsid w:val="00140A49"/>
    <w:rsid w:val="00141435"/>
    <w:rsid w:val="00141CEC"/>
    <w:rsid w:val="0014738D"/>
    <w:rsid w:val="00150D5A"/>
    <w:rsid w:val="0015151E"/>
    <w:rsid w:val="00151AF8"/>
    <w:rsid w:val="0015370B"/>
    <w:rsid w:val="001543B4"/>
    <w:rsid w:val="00155789"/>
    <w:rsid w:val="0016046A"/>
    <w:rsid w:val="00161F6F"/>
    <w:rsid w:val="001649BC"/>
    <w:rsid w:val="00164D05"/>
    <w:rsid w:val="0016529B"/>
    <w:rsid w:val="001652F2"/>
    <w:rsid w:val="001659BF"/>
    <w:rsid w:val="00165D45"/>
    <w:rsid w:val="00172CBE"/>
    <w:rsid w:val="0017516C"/>
    <w:rsid w:val="0018495C"/>
    <w:rsid w:val="00186362"/>
    <w:rsid w:val="00186E46"/>
    <w:rsid w:val="00187FBC"/>
    <w:rsid w:val="00190DAF"/>
    <w:rsid w:val="001921B0"/>
    <w:rsid w:val="00192648"/>
    <w:rsid w:val="0019444A"/>
    <w:rsid w:val="00194F57"/>
    <w:rsid w:val="00196074"/>
    <w:rsid w:val="00197419"/>
    <w:rsid w:val="00197D79"/>
    <w:rsid w:val="001A0639"/>
    <w:rsid w:val="001B02A3"/>
    <w:rsid w:val="001B4960"/>
    <w:rsid w:val="001B49C0"/>
    <w:rsid w:val="001B5004"/>
    <w:rsid w:val="001B7804"/>
    <w:rsid w:val="001B79F6"/>
    <w:rsid w:val="001C093D"/>
    <w:rsid w:val="001C2275"/>
    <w:rsid w:val="001C29D4"/>
    <w:rsid w:val="001C5AE7"/>
    <w:rsid w:val="001D006D"/>
    <w:rsid w:val="001D7FEA"/>
    <w:rsid w:val="001E2F27"/>
    <w:rsid w:val="001E4CDB"/>
    <w:rsid w:val="001E5606"/>
    <w:rsid w:val="001E5ED5"/>
    <w:rsid w:val="001F395B"/>
    <w:rsid w:val="001F46B0"/>
    <w:rsid w:val="001F69F2"/>
    <w:rsid w:val="00200F50"/>
    <w:rsid w:val="002022B5"/>
    <w:rsid w:val="00204C02"/>
    <w:rsid w:val="0021538F"/>
    <w:rsid w:val="00216719"/>
    <w:rsid w:val="002238A4"/>
    <w:rsid w:val="00225320"/>
    <w:rsid w:val="00226614"/>
    <w:rsid w:val="002304B6"/>
    <w:rsid w:val="00232E4D"/>
    <w:rsid w:val="00234402"/>
    <w:rsid w:val="00234781"/>
    <w:rsid w:val="002372B5"/>
    <w:rsid w:val="00241ACE"/>
    <w:rsid w:val="00242E3C"/>
    <w:rsid w:val="002434D5"/>
    <w:rsid w:val="00243946"/>
    <w:rsid w:val="00245E56"/>
    <w:rsid w:val="00246456"/>
    <w:rsid w:val="00247D3C"/>
    <w:rsid w:val="0025103D"/>
    <w:rsid w:val="002527E6"/>
    <w:rsid w:val="00254A8D"/>
    <w:rsid w:val="00254C2F"/>
    <w:rsid w:val="00256C21"/>
    <w:rsid w:val="0026009F"/>
    <w:rsid w:val="00261809"/>
    <w:rsid w:val="00261B45"/>
    <w:rsid w:val="0026483C"/>
    <w:rsid w:val="00265873"/>
    <w:rsid w:val="00266B1E"/>
    <w:rsid w:val="0026767B"/>
    <w:rsid w:val="0027025D"/>
    <w:rsid w:val="0027520F"/>
    <w:rsid w:val="0027648E"/>
    <w:rsid w:val="00276AE3"/>
    <w:rsid w:val="00280479"/>
    <w:rsid w:val="0028234B"/>
    <w:rsid w:val="002829B8"/>
    <w:rsid w:val="00282CEC"/>
    <w:rsid w:val="002861DB"/>
    <w:rsid w:val="00290F89"/>
    <w:rsid w:val="00291E68"/>
    <w:rsid w:val="00293EC7"/>
    <w:rsid w:val="002A17CB"/>
    <w:rsid w:val="002A2047"/>
    <w:rsid w:val="002A2F86"/>
    <w:rsid w:val="002A3CAD"/>
    <w:rsid w:val="002A6014"/>
    <w:rsid w:val="002A6A7C"/>
    <w:rsid w:val="002A751D"/>
    <w:rsid w:val="002B27D6"/>
    <w:rsid w:val="002B332D"/>
    <w:rsid w:val="002B3DF8"/>
    <w:rsid w:val="002B507D"/>
    <w:rsid w:val="002B7914"/>
    <w:rsid w:val="002B7C60"/>
    <w:rsid w:val="002C09E9"/>
    <w:rsid w:val="002C1754"/>
    <w:rsid w:val="002C2588"/>
    <w:rsid w:val="002C2A41"/>
    <w:rsid w:val="002C564D"/>
    <w:rsid w:val="002C5DFA"/>
    <w:rsid w:val="002C7B5A"/>
    <w:rsid w:val="002D37AD"/>
    <w:rsid w:val="002D5CC5"/>
    <w:rsid w:val="002D7DE2"/>
    <w:rsid w:val="002E01B4"/>
    <w:rsid w:val="002E342B"/>
    <w:rsid w:val="002F2C15"/>
    <w:rsid w:val="002F3A0A"/>
    <w:rsid w:val="002F5424"/>
    <w:rsid w:val="002F74F6"/>
    <w:rsid w:val="002F769E"/>
    <w:rsid w:val="0030129B"/>
    <w:rsid w:val="00304BAA"/>
    <w:rsid w:val="003055EF"/>
    <w:rsid w:val="00305A30"/>
    <w:rsid w:val="00305E82"/>
    <w:rsid w:val="003070D7"/>
    <w:rsid w:val="00307E70"/>
    <w:rsid w:val="00310B2F"/>
    <w:rsid w:val="0031558C"/>
    <w:rsid w:val="00321D36"/>
    <w:rsid w:val="003221E7"/>
    <w:rsid w:val="0032297A"/>
    <w:rsid w:val="003238F4"/>
    <w:rsid w:val="00323A69"/>
    <w:rsid w:val="003244F0"/>
    <w:rsid w:val="00324601"/>
    <w:rsid w:val="003323B4"/>
    <w:rsid w:val="003334E5"/>
    <w:rsid w:val="003335BC"/>
    <w:rsid w:val="003344CD"/>
    <w:rsid w:val="003358D9"/>
    <w:rsid w:val="00335C16"/>
    <w:rsid w:val="0033684F"/>
    <w:rsid w:val="003401DE"/>
    <w:rsid w:val="003405A5"/>
    <w:rsid w:val="00340B51"/>
    <w:rsid w:val="00340ED1"/>
    <w:rsid w:val="00344042"/>
    <w:rsid w:val="00344C46"/>
    <w:rsid w:val="0034729B"/>
    <w:rsid w:val="003573BE"/>
    <w:rsid w:val="00357D8B"/>
    <w:rsid w:val="00363A14"/>
    <w:rsid w:val="003669F0"/>
    <w:rsid w:val="00380C7A"/>
    <w:rsid w:val="00382749"/>
    <w:rsid w:val="00387018"/>
    <w:rsid w:val="003877F5"/>
    <w:rsid w:val="00391479"/>
    <w:rsid w:val="00391A18"/>
    <w:rsid w:val="00391C13"/>
    <w:rsid w:val="00393A89"/>
    <w:rsid w:val="00394EED"/>
    <w:rsid w:val="00396455"/>
    <w:rsid w:val="003A3A4C"/>
    <w:rsid w:val="003A403F"/>
    <w:rsid w:val="003A44B7"/>
    <w:rsid w:val="003A4788"/>
    <w:rsid w:val="003A4830"/>
    <w:rsid w:val="003A4F9B"/>
    <w:rsid w:val="003A5364"/>
    <w:rsid w:val="003A5F5A"/>
    <w:rsid w:val="003A6998"/>
    <w:rsid w:val="003B4CD9"/>
    <w:rsid w:val="003C034C"/>
    <w:rsid w:val="003C1174"/>
    <w:rsid w:val="003C126C"/>
    <w:rsid w:val="003C1A87"/>
    <w:rsid w:val="003C1B76"/>
    <w:rsid w:val="003C1F37"/>
    <w:rsid w:val="003D2C80"/>
    <w:rsid w:val="003D408F"/>
    <w:rsid w:val="003D5C1C"/>
    <w:rsid w:val="003D65D5"/>
    <w:rsid w:val="003E0024"/>
    <w:rsid w:val="003E1640"/>
    <w:rsid w:val="003E31DB"/>
    <w:rsid w:val="003E5DE5"/>
    <w:rsid w:val="003E7A1D"/>
    <w:rsid w:val="003F2879"/>
    <w:rsid w:val="003F55EB"/>
    <w:rsid w:val="003F5968"/>
    <w:rsid w:val="003F64D2"/>
    <w:rsid w:val="003F79C5"/>
    <w:rsid w:val="004007A5"/>
    <w:rsid w:val="004034CA"/>
    <w:rsid w:val="004160E9"/>
    <w:rsid w:val="0042099A"/>
    <w:rsid w:val="00420FF3"/>
    <w:rsid w:val="00422C75"/>
    <w:rsid w:val="0042377C"/>
    <w:rsid w:val="004279D4"/>
    <w:rsid w:val="00433111"/>
    <w:rsid w:val="00433B53"/>
    <w:rsid w:val="00436A47"/>
    <w:rsid w:val="00436C55"/>
    <w:rsid w:val="00440410"/>
    <w:rsid w:val="004412FA"/>
    <w:rsid w:val="00441D64"/>
    <w:rsid w:val="00442570"/>
    <w:rsid w:val="004460B1"/>
    <w:rsid w:val="004503D2"/>
    <w:rsid w:val="00450A9A"/>
    <w:rsid w:val="00451C43"/>
    <w:rsid w:val="00453565"/>
    <w:rsid w:val="0045586F"/>
    <w:rsid w:val="00455E3C"/>
    <w:rsid w:val="00456A18"/>
    <w:rsid w:val="00457F41"/>
    <w:rsid w:val="00462ABF"/>
    <w:rsid w:val="0046334B"/>
    <w:rsid w:val="004732CB"/>
    <w:rsid w:val="00473EB5"/>
    <w:rsid w:val="00481805"/>
    <w:rsid w:val="004873D1"/>
    <w:rsid w:val="00495099"/>
    <w:rsid w:val="004A0F9B"/>
    <w:rsid w:val="004A1DA1"/>
    <w:rsid w:val="004A33E2"/>
    <w:rsid w:val="004A45A7"/>
    <w:rsid w:val="004A46A6"/>
    <w:rsid w:val="004A48CA"/>
    <w:rsid w:val="004A65E3"/>
    <w:rsid w:val="004B07E3"/>
    <w:rsid w:val="004B1297"/>
    <w:rsid w:val="004B1C6E"/>
    <w:rsid w:val="004B4634"/>
    <w:rsid w:val="004B7DD2"/>
    <w:rsid w:val="004C02A1"/>
    <w:rsid w:val="004C0935"/>
    <w:rsid w:val="004C4CD5"/>
    <w:rsid w:val="004C5C4F"/>
    <w:rsid w:val="004D0B12"/>
    <w:rsid w:val="004D344B"/>
    <w:rsid w:val="004D55E7"/>
    <w:rsid w:val="004D6634"/>
    <w:rsid w:val="004E1F7B"/>
    <w:rsid w:val="004E2045"/>
    <w:rsid w:val="004E249E"/>
    <w:rsid w:val="004E27CB"/>
    <w:rsid w:val="004E2DF2"/>
    <w:rsid w:val="004F002F"/>
    <w:rsid w:val="004F224A"/>
    <w:rsid w:val="00500C23"/>
    <w:rsid w:val="00500F18"/>
    <w:rsid w:val="00511713"/>
    <w:rsid w:val="0051266E"/>
    <w:rsid w:val="00517447"/>
    <w:rsid w:val="00517D97"/>
    <w:rsid w:val="00520525"/>
    <w:rsid w:val="00520ECE"/>
    <w:rsid w:val="00522F21"/>
    <w:rsid w:val="00524934"/>
    <w:rsid w:val="0053374F"/>
    <w:rsid w:val="005355CE"/>
    <w:rsid w:val="005374F8"/>
    <w:rsid w:val="005435CE"/>
    <w:rsid w:val="00546988"/>
    <w:rsid w:val="00546F70"/>
    <w:rsid w:val="005476A7"/>
    <w:rsid w:val="005554F8"/>
    <w:rsid w:val="00560D69"/>
    <w:rsid w:val="00560F30"/>
    <w:rsid w:val="00562C07"/>
    <w:rsid w:val="005638AB"/>
    <w:rsid w:val="0056718B"/>
    <w:rsid w:val="0057022A"/>
    <w:rsid w:val="00570680"/>
    <w:rsid w:val="0057198D"/>
    <w:rsid w:val="005722AF"/>
    <w:rsid w:val="00573F15"/>
    <w:rsid w:val="00574EB4"/>
    <w:rsid w:val="0057684F"/>
    <w:rsid w:val="00581ADE"/>
    <w:rsid w:val="005827A0"/>
    <w:rsid w:val="00582BE5"/>
    <w:rsid w:val="00582C7B"/>
    <w:rsid w:val="00583536"/>
    <w:rsid w:val="00586410"/>
    <w:rsid w:val="0059194E"/>
    <w:rsid w:val="00591B1D"/>
    <w:rsid w:val="00594031"/>
    <w:rsid w:val="005A327D"/>
    <w:rsid w:val="005A440E"/>
    <w:rsid w:val="005B373A"/>
    <w:rsid w:val="005B3894"/>
    <w:rsid w:val="005B4306"/>
    <w:rsid w:val="005B5B28"/>
    <w:rsid w:val="005B5D93"/>
    <w:rsid w:val="005B6FF6"/>
    <w:rsid w:val="005C075C"/>
    <w:rsid w:val="005C0BAB"/>
    <w:rsid w:val="005C1A52"/>
    <w:rsid w:val="005C2565"/>
    <w:rsid w:val="005C3DC1"/>
    <w:rsid w:val="005C6D2F"/>
    <w:rsid w:val="005C6D55"/>
    <w:rsid w:val="005D401E"/>
    <w:rsid w:val="005E0B41"/>
    <w:rsid w:val="005E52E7"/>
    <w:rsid w:val="005E554D"/>
    <w:rsid w:val="005E5597"/>
    <w:rsid w:val="005E62E3"/>
    <w:rsid w:val="005F148E"/>
    <w:rsid w:val="005F64BD"/>
    <w:rsid w:val="0060222E"/>
    <w:rsid w:val="00602C71"/>
    <w:rsid w:val="00612A69"/>
    <w:rsid w:val="00616209"/>
    <w:rsid w:val="006169D9"/>
    <w:rsid w:val="006225B3"/>
    <w:rsid w:val="006241AB"/>
    <w:rsid w:val="00624EF5"/>
    <w:rsid w:val="0062637E"/>
    <w:rsid w:val="0062701D"/>
    <w:rsid w:val="00627B0F"/>
    <w:rsid w:val="00633D74"/>
    <w:rsid w:val="00636784"/>
    <w:rsid w:val="00636EA0"/>
    <w:rsid w:val="0064285D"/>
    <w:rsid w:val="00645032"/>
    <w:rsid w:val="00651150"/>
    <w:rsid w:val="00652157"/>
    <w:rsid w:val="006531DE"/>
    <w:rsid w:val="006721D7"/>
    <w:rsid w:val="006743AD"/>
    <w:rsid w:val="0067450F"/>
    <w:rsid w:val="00674FB1"/>
    <w:rsid w:val="00676BDB"/>
    <w:rsid w:val="00683A46"/>
    <w:rsid w:val="00683F8A"/>
    <w:rsid w:val="00697721"/>
    <w:rsid w:val="006A119E"/>
    <w:rsid w:val="006A1778"/>
    <w:rsid w:val="006A2FF4"/>
    <w:rsid w:val="006A4B57"/>
    <w:rsid w:val="006A5CD1"/>
    <w:rsid w:val="006B0939"/>
    <w:rsid w:val="006B2382"/>
    <w:rsid w:val="006B7B43"/>
    <w:rsid w:val="006C0B4C"/>
    <w:rsid w:val="006C4128"/>
    <w:rsid w:val="006C648F"/>
    <w:rsid w:val="006D3307"/>
    <w:rsid w:val="006D3505"/>
    <w:rsid w:val="006D55E9"/>
    <w:rsid w:val="006D661F"/>
    <w:rsid w:val="006D7E91"/>
    <w:rsid w:val="006E014E"/>
    <w:rsid w:val="006E0F99"/>
    <w:rsid w:val="006E176F"/>
    <w:rsid w:val="006E24CE"/>
    <w:rsid w:val="006E64F9"/>
    <w:rsid w:val="006F1B86"/>
    <w:rsid w:val="00700B43"/>
    <w:rsid w:val="00701CBB"/>
    <w:rsid w:val="007023F0"/>
    <w:rsid w:val="00705D87"/>
    <w:rsid w:val="0071156B"/>
    <w:rsid w:val="007119C1"/>
    <w:rsid w:val="007155BB"/>
    <w:rsid w:val="00721289"/>
    <w:rsid w:val="00721308"/>
    <w:rsid w:val="00721DD8"/>
    <w:rsid w:val="007301E4"/>
    <w:rsid w:val="007303FF"/>
    <w:rsid w:val="00732AF8"/>
    <w:rsid w:val="00733155"/>
    <w:rsid w:val="00733FA1"/>
    <w:rsid w:val="00735B2E"/>
    <w:rsid w:val="00736378"/>
    <w:rsid w:val="00736B1A"/>
    <w:rsid w:val="007379B2"/>
    <w:rsid w:val="00740202"/>
    <w:rsid w:val="007429DF"/>
    <w:rsid w:val="00742E80"/>
    <w:rsid w:val="00745268"/>
    <w:rsid w:val="00751A0E"/>
    <w:rsid w:val="00763565"/>
    <w:rsid w:val="007637BB"/>
    <w:rsid w:val="0076384D"/>
    <w:rsid w:val="00763B01"/>
    <w:rsid w:val="0076471B"/>
    <w:rsid w:val="00764932"/>
    <w:rsid w:val="007662E7"/>
    <w:rsid w:val="00772A9F"/>
    <w:rsid w:val="007834DC"/>
    <w:rsid w:val="00783BDA"/>
    <w:rsid w:val="0078553E"/>
    <w:rsid w:val="0079049A"/>
    <w:rsid w:val="007911A1"/>
    <w:rsid w:val="00791F7D"/>
    <w:rsid w:val="0079287D"/>
    <w:rsid w:val="00792DC3"/>
    <w:rsid w:val="007941F9"/>
    <w:rsid w:val="0079726C"/>
    <w:rsid w:val="007A0A8E"/>
    <w:rsid w:val="007A5D4D"/>
    <w:rsid w:val="007A79D6"/>
    <w:rsid w:val="007A7D99"/>
    <w:rsid w:val="007B1209"/>
    <w:rsid w:val="007B1243"/>
    <w:rsid w:val="007B1A7E"/>
    <w:rsid w:val="007B4B07"/>
    <w:rsid w:val="007B5307"/>
    <w:rsid w:val="007B5FA0"/>
    <w:rsid w:val="007B78B8"/>
    <w:rsid w:val="007C0511"/>
    <w:rsid w:val="007C77F3"/>
    <w:rsid w:val="007D06C0"/>
    <w:rsid w:val="007D0D9F"/>
    <w:rsid w:val="007D145F"/>
    <w:rsid w:val="007D1573"/>
    <w:rsid w:val="007D2700"/>
    <w:rsid w:val="007D3181"/>
    <w:rsid w:val="007D6476"/>
    <w:rsid w:val="007E195C"/>
    <w:rsid w:val="007E1D21"/>
    <w:rsid w:val="007E231D"/>
    <w:rsid w:val="007E2322"/>
    <w:rsid w:val="007E2787"/>
    <w:rsid w:val="007E5D12"/>
    <w:rsid w:val="007E73E8"/>
    <w:rsid w:val="007E7830"/>
    <w:rsid w:val="007F686B"/>
    <w:rsid w:val="0080060C"/>
    <w:rsid w:val="00800C4D"/>
    <w:rsid w:val="00801DCF"/>
    <w:rsid w:val="0080515C"/>
    <w:rsid w:val="0080579F"/>
    <w:rsid w:val="008103B4"/>
    <w:rsid w:val="00812207"/>
    <w:rsid w:val="00812771"/>
    <w:rsid w:val="008138CD"/>
    <w:rsid w:val="00814ABB"/>
    <w:rsid w:val="00816B67"/>
    <w:rsid w:val="0082156F"/>
    <w:rsid w:val="00824082"/>
    <w:rsid w:val="0082420F"/>
    <w:rsid w:val="0082616D"/>
    <w:rsid w:val="008272F3"/>
    <w:rsid w:val="00830F30"/>
    <w:rsid w:val="0083179C"/>
    <w:rsid w:val="00832029"/>
    <w:rsid w:val="00832133"/>
    <w:rsid w:val="00833262"/>
    <w:rsid w:val="00835BE1"/>
    <w:rsid w:val="00836001"/>
    <w:rsid w:val="00836197"/>
    <w:rsid w:val="008374E8"/>
    <w:rsid w:val="008432E5"/>
    <w:rsid w:val="00844DE6"/>
    <w:rsid w:val="00847C5D"/>
    <w:rsid w:val="00852172"/>
    <w:rsid w:val="00854BC8"/>
    <w:rsid w:val="008564E3"/>
    <w:rsid w:val="008615A3"/>
    <w:rsid w:val="008618D0"/>
    <w:rsid w:val="00863396"/>
    <w:rsid w:val="00864443"/>
    <w:rsid w:val="00864668"/>
    <w:rsid w:val="008663AE"/>
    <w:rsid w:val="0086648C"/>
    <w:rsid w:val="00867018"/>
    <w:rsid w:val="00870FB4"/>
    <w:rsid w:val="00872487"/>
    <w:rsid w:val="00876396"/>
    <w:rsid w:val="00882149"/>
    <w:rsid w:val="00893CF7"/>
    <w:rsid w:val="0089662F"/>
    <w:rsid w:val="00896B9D"/>
    <w:rsid w:val="008A0F2A"/>
    <w:rsid w:val="008A1C71"/>
    <w:rsid w:val="008A2656"/>
    <w:rsid w:val="008A2691"/>
    <w:rsid w:val="008A4C43"/>
    <w:rsid w:val="008B043F"/>
    <w:rsid w:val="008B1402"/>
    <w:rsid w:val="008B16E2"/>
    <w:rsid w:val="008B60B7"/>
    <w:rsid w:val="008B6A4B"/>
    <w:rsid w:val="008C2A1F"/>
    <w:rsid w:val="008C6B7F"/>
    <w:rsid w:val="008C72C9"/>
    <w:rsid w:val="008D0C83"/>
    <w:rsid w:val="008D3032"/>
    <w:rsid w:val="008D3C81"/>
    <w:rsid w:val="008D3E1A"/>
    <w:rsid w:val="008D47BF"/>
    <w:rsid w:val="008D55A7"/>
    <w:rsid w:val="008E3BA6"/>
    <w:rsid w:val="008E49D6"/>
    <w:rsid w:val="008E7A6C"/>
    <w:rsid w:val="008F19C6"/>
    <w:rsid w:val="008F2F4E"/>
    <w:rsid w:val="008F6259"/>
    <w:rsid w:val="00906D87"/>
    <w:rsid w:val="00911D3F"/>
    <w:rsid w:val="0091264F"/>
    <w:rsid w:val="0091455A"/>
    <w:rsid w:val="00921F9E"/>
    <w:rsid w:val="00923075"/>
    <w:rsid w:val="00924221"/>
    <w:rsid w:val="0092444F"/>
    <w:rsid w:val="00930CCD"/>
    <w:rsid w:val="00932F2C"/>
    <w:rsid w:val="00933BF5"/>
    <w:rsid w:val="00933D9D"/>
    <w:rsid w:val="009353B8"/>
    <w:rsid w:val="00935C1E"/>
    <w:rsid w:val="009402C9"/>
    <w:rsid w:val="00943A03"/>
    <w:rsid w:val="009440BE"/>
    <w:rsid w:val="0094569A"/>
    <w:rsid w:val="00946FFA"/>
    <w:rsid w:val="00950498"/>
    <w:rsid w:val="009508E8"/>
    <w:rsid w:val="00950E25"/>
    <w:rsid w:val="00950E4E"/>
    <w:rsid w:val="00952942"/>
    <w:rsid w:val="00953F53"/>
    <w:rsid w:val="0095609B"/>
    <w:rsid w:val="00964122"/>
    <w:rsid w:val="00966151"/>
    <w:rsid w:val="00967000"/>
    <w:rsid w:val="00967B74"/>
    <w:rsid w:val="00967C3D"/>
    <w:rsid w:val="009722F9"/>
    <w:rsid w:val="0097352F"/>
    <w:rsid w:val="00975C9B"/>
    <w:rsid w:val="00977285"/>
    <w:rsid w:val="0098443F"/>
    <w:rsid w:val="00984A67"/>
    <w:rsid w:val="0098676E"/>
    <w:rsid w:val="009923BD"/>
    <w:rsid w:val="00992FC4"/>
    <w:rsid w:val="00995B91"/>
    <w:rsid w:val="0099743C"/>
    <w:rsid w:val="009A3905"/>
    <w:rsid w:val="009A453D"/>
    <w:rsid w:val="009A75EA"/>
    <w:rsid w:val="009B0781"/>
    <w:rsid w:val="009B33A8"/>
    <w:rsid w:val="009B3864"/>
    <w:rsid w:val="009C57F4"/>
    <w:rsid w:val="009C72C1"/>
    <w:rsid w:val="009C76A1"/>
    <w:rsid w:val="009D16E3"/>
    <w:rsid w:val="009D1CB0"/>
    <w:rsid w:val="009D2254"/>
    <w:rsid w:val="009D4FF5"/>
    <w:rsid w:val="009D6AE3"/>
    <w:rsid w:val="009E21FD"/>
    <w:rsid w:val="009E5BB6"/>
    <w:rsid w:val="009E7FB8"/>
    <w:rsid w:val="009F21FC"/>
    <w:rsid w:val="009F4CF1"/>
    <w:rsid w:val="00A00151"/>
    <w:rsid w:val="00A013B6"/>
    <w:rsid w:val="00A01C4D"/>
    <w:rsid w:val="00A03D0B"/>
    <w:rsid w:val="00A04A1D"/>
    <w:rsid w:val="00A053E0"/>
    <w:rsid w:val="00A07B30"/>
    <w:rsid w:val="00A111FD"/>
    <w:rsid w:val="00A11AB3"/>
    <w:rsid w:val="00A143A8"/>
    <w:rsid w:val="00A14467"/>
    <w:rsid w:val="00A15E84"/>
    <w:rsid w:val="00A20005"/>
    <w:rsid w:val="00A204EE"/>
    <w:rsid w:val="00A21213"/>
    <w:rsid w:val="00A215E8"/>
    <w:rsid w:val="00A21E45"/>
    <w:rsid w:val="00A23098"/>
    <w:rsid w:val="00A24CE7"/>
    <w:rsid w:val="00A27DF0"/>
    <w:rsid w:val="00A341F1"/>
    <w:rsid w:val="00A358C1"/>
    <w:rsid w:val="00A459C7"/>
    <w:rsid w:val="00A46985"/>
    <w:rsid w:val="00A51F79"/>
    <w:rsid w:val="00A54C37"/>
    <w:rsid w:val="00A60520"/>
    <w:rsid w:val="00A6088C"/>
    <w:rsid w:val="00A61527"/>
    <w:rsid w:val="00A64B64"/>
    <w:rsid w:val="00A64F0C"/>
    <w:rsid w:val="00A65233"/>
    <w:rsid w:val="00A653DD"/>
    <w:rsid w:val="00A66617"/>
    <w:rsid w:val="00A675E1"/>
    <w:rsid w:val="00A720B4"/>
    <w:rsid w:val="00A72345"/>
    <w:rsid w:val="00A7606C"/>
    <w:rsid w:val="00A77E04"/>
    <w:rsid w:val="00A81509"/>
    <w:rsid w:val="00A82DD8"/>
    <w:rsid w:val="00A83A07"/>
    <w:rsid w:val="00A8433A"/>
    <w:rsid w:val="00A87ACE"/>
    <w:rsid w:val="00A9266D"/>
    <w:rsid w:val="00A94FDB"/>
    <w:rsid w:val="00A95AC8"/>
    <w:rsid w:val="00AA2624"/>
    <w:rsid w:val="00AA3C2C"/>
    <w:rsid w:val="00AA4A9A"/>
    <w:rsid w:val="00AA4C30"/>
    <w:rsid w:val="00AA69AE"/>
    <w:rsid w:val="00AA7119"/>
    <w:rsid w:val="00AB0AC6"/>
    <w:rsid w:val="00AB3406"/>
    <w:rsid w:val="00AC23DB"/>
    <w:rsid w:val="00AC3A93"/>
    <w:rsid w:val="00AC4706"/>
    <w:rsid w:val="00AC691D"/>
    <w:rsid w:val="00AD38CB"/>
    <w:rsid w:val="00AD6926"/>
    <w:rsid w:val="00AE1BD7"/>
    <w:rsid w:val="00AE3775"/>
    <w:rsid w:val="00AE57FC"/>
    <w:rsid w:val="00AE5BC5"/>
    <w:rsid w:val="00AE6C59"/>
    <w:rsid w:val="00AF0121"/>
    <w:rsid w:val="00AF0553"/>
    <w:rsid w:val="00AF1C10"/>
    <w:rsid w:val="00B02144"/>
    <w:rsid w:val="00B045F3"/>
    <w:rsid w:val="00B04AED"/>
    <w:rsid w:val="00B06E2C"/>
    <w:rsid w:val="00B07B5A"/>
    <w:rsid w:val="00B10499"/>
    <w:rsid w:val="00B11044"/>
    <w:rsid w:val="00B11199"/>
    <w:rsid w:val="00B17C09"/>
    <w:rsid w:val="00B22242"/>
    <w:rsid w:val="00B2437E"/>
    <w:rsid w:val="00B263D6"/>
    <w:rsid w:val="00B266F7"/>
    <w:rsid w:val="00B3062B"/>
    <w:rsid w:val="00B32CBF"/>
    <w:rsid w:val="00B4105A"/>
    <w:rsid w:val="00B44836"/>
    <w:rsid w:val="00B44891"/>
    <w:rsid w:val="00B44CB1"/>
    <w:rsid w:val="00B45064"/>
    <w:rsid w:val="00B4555D"/>
    <w:rsid w:val="00B46714"/>
    <w:rsid w:val="00B5203B"/>
    <w:rsid w:val="00B5324C"/>
    <w:rsid w:val="00B53F82"/>
    <w:rsid w:val="00B54B22"/>
    <w:rsid w:val="00B56711"/>
    <w:rsid w:val="00B56E2B"/>
    <w:rsid w:val="00B56EEA"/>
    <w:rsid w:val="00B5790E"/>
    <w:rsid w:val="00B65915"/>
    <w:rsid w:val="00B70992"/>
    <w:rsid w:val="00B70DB7"/>
    <w:rsid w:val="00B72273"/>
    <w:rsid w:val="00B73295"/>
    <w:rsid w:val="00B76A25"/>
    <w:rsid w:val="00B8019A"/>
    <w:rsid w:val="00B82908"/>
    <w:rsid w:val="00B85547"/>
    <w:rsid w:val="00B85A19"/>
    <w:rsid w:val="00B87B6B"/>
    <w:rsid w:val="00B93BFE"/>
    <w:rsid w:val="00B9559A"/>
    <w:rsid w:val="00BA0881"/>
    <w:rsid w:val="00BA2014"/>
    <w:rsid w:val="00BA2B23"/>
    <w:rsid w:val="00BA2FB5"/>
    <w:rsid w:val="00BA4AAE"/>
    <w:rsid w:val="00BA57F3"/>
    <w:rsid w:val="00BA6D9A"/>
    <w:rsid w:val="00BA72FA"/>
    <w:rsid w:val="00BB18A0"/>
    <w:rsid w:val="00BB4044"/>
    <w:rsid w:val="00BB5D27"/>
    <w:rsid w:val="00BB7CE8"/>
    <w:rsid w:val="00BC1511"/>
    <w:rsid w:val="00BC1728"/>
    <w:rsid w:val="00BC1E5F"/>
    <w:rsid w:val="00BC1FFA"/>
    <w:rsid w:val="00BC2402"/>
    <w:rsid w:val="00BC4CE3"/>
    <w:rsid w:val="00BC5FC9"/>
    <w:rsid w:val="00BC7C7D"/>
    <w:rsid w:val="00BD0947"/>
    <w:rsid w:val="00BD796C"/>
    <w:rsid w:val="00BE2E16"/>
    <w:rsid w:val="00BE4895"/>
    <w:rsid w:val="00BE53F4"/>
    <w:rsid w:val="00BF05DE"/>
    <w:rsid w:val="00BF2DAD"/>
    <w:rsid w:val="00BF3F41"/>
    <w:rsid w:val="00BF447C"/>
    <w:rsid w:val="00C00DC5"/>
    <w:rsid w:val="00C02397"/>
    <w:rsid w:val="00C0307C"/>
    <w:rsid w:val="00C033EC"/>
    <w:rsid w:val="00C0613B"/>
    <w:rsid w:val="00C105B2"/>
    <w:rsid w:val="00C107AF"/>
    <w:rsid w:val="00C10B2A"/>
    <w:rsid w:val="00C119DB"/>
    <w:rsid w:val="00C11D6A"/>
    <w:rsid w:val="00C140DA"/>
    <w:rsid w:val="00C14B93"/>
    <w:rsid w:val="00C14FFA"/>
    <w:rsid w:val="00C158D7"/>
    <w:rsid w:val="00C1655F"/>
    <w:rsid w:val="00C170B9"/>
    <w:rsid w:val="00C25D6A"/>
    <w:rsid w:val="00C26E1A"/>
    <w:rsid w:val="00C278EC"/>
    <w:rsid w:val="00C31522"/>
    <w:rsid w:val="00C3431F"/>
    <w:rsid w:val="00C368E0"/>
    <w:rsid w:val="00C42F55"/>
    <w:rsid w:val="00C471F8"/>
    <w:rsid w:val="00C528B2"/>
    <w:rsid w:val="00C52CBE"/>
    <w:rsid w:val="00C53F26"/>
    <w:rsid w:val="00C57C21"/>
    <w:rsid w:val="00C612CB"/>
    <w:rsid w:val="00C624E7"/>
    <w:rsid w:val="00C630EC"/>
    <w:rsid w:val="00C634B6"/>
    <w:rsid w:val="00C6395D"/>
    <w:rsid w:val="00C6464D"/>
    <w:rsid w:val="00C64BA3"/>
    <w:rsid w:val="00C666AD"/>
    <w:rsid w:val="00C668B1"/>
    <w:rsid w:val="00C67150"/>
    <w:rsid w:val="00C67BBE"/>
    <w:rsid w:val="00C71517"/>
    <w:rsid w:val="00C72F07"/>
    <w:rsid w:val="00C745BB"/>
    <w:rsid w:val="00C7556D"/>
    <w:rsid w:val="00C8072A"/>
    <w:rsid w:val="00C80C02"/>
    <w:rsid w:val="00C80C05"/>
    <w:rsid w:val="00C82D22"/>
    <w:rsid w:val="00C87D30"/>
    <w:rsid w:val="00C94312"/>
    <w:rsid w:val="00C9534A"/>
    <w:rsid w:val="00C96AF1"/>
    <w:rsid w:val="00CA0E9F"/>
    <w:rsid w:val="00CA262F"/>
    <w:rsid w:val="00CA2DB3"/>
    <w:rsid w:val="00CA4FAC"/>
    <w:rsid w:val="00CB0B2B"/>
    <w:rsid w:val="00CB1FDE"/>
    <w:rsid w:val="00CB3EE5"/>
    <w:rsid w:val="00CB785F"/>
    <w:rsid w:val="00CC099D"/>
    <w:rsid w:val="00CC2183"/>
    <w:rsid w:val="00CD55EA"/>
    <w:rsid w:val="00CD6314"/>
    <w:rsid w:val="00CD6593"/>
    <w:rsid w:val="00CD7057"/>
    <w:rsid w:val="00CE0E47"/>
    <w:rsid w:val="00CE26BA"/>
    <w:rsid w:val="00CE574B"/>
    <w:rsid w:val="00CF1104"/>
    <w:rsid w:val="00CF18C2"/>
    <w:rsid w:val="00D01C4C"/>
    <w:rsid w:val="00D0204A"/>
    <w:rsid w:val="00D040C5"/>
    <w:rsid w:val="00D04BF6"/>
    <w:rsid w:val="00D05082"/>
    <w:rsid w:val="00D078D2"/>
    <w:rsid w:val="00D10460"/>
    <w:rsid w:val="00D10A5A"/>
    <w:rsid w:val="00D12091"/>
    <w:rsid w:val="00D168FB"/>
    <w:rsid w:val="00D16C0E"/>
    <w:rsid w:val="00D21278"/>
    <w:rsid w:val="00D25917"/>
    <w:rsid w:val="00D27617"/>
    <w:rsid w:val="00D34050"/>
    <w:rsid w:val="00D353B9"/>
    <w:rsid w:val="00D37957"/>
    <w:rsid w:val="00D41D5C"/>
    <w:rsid w:val="00D455FA"/>
    <w:rsid w:val="00D4572B"/>
    <w:rsid w:val="00D50742"/>
    <w:rsid w:val="00D50EAB"/>
    <w:rsid w:val="00D52538"/>
    <w:rsid w:val="00D53B2E"/>
    <w:rsid w:val="00D54C36"/>
    <w:rsid w:val="00D54CC4"/>
    <w:rsid w:val="00D5565A"/>
    <w:rsid w:val="00D55A72"/>
    <w:rsid w:val="00D55D6A"/>
    <w:rsid w:val="00D60095"/>
    <w:rsid w:val="00D609BB"/>
    <w:rsid w:val="00D65109"/>
    <w:rsid w:val="00D7128C"/>
    <w:rsid w:val="00D73C46"/>
    <w:rsid w:val="00D73FC6"/>
    <w:rsid w:val="00D759F2"/>
    <w:rsid w:val="00D818E2"/>
    <w:rsid w:val="00D8242F"/>
    <w:rsid w:val="00D8481E"/>
    <w:rsid w:val="00D85C3A"/>
    <w:rsid w:val="00D8635C"/>
    <w:rsid w:val="00D918E9"/>
    <w:rsid w:val="00D91D24"/>
    <w:rsid w:val="00D94994"/>
    <w:rsid w:val="00D97A48"/>
    <w:rsid w:val="00DA29ED"/>
    <w:rsid w:val="00DA46C5"/>
    <w:rsid w:val="00DA47BF"/>
    <w:rsid w:val="00DA700C"/>
    <w:rsid w:val="00DB16BA"/>
    <w:rsid w:val="00DB3444"/>
    <w:rsid w:val="00DB4606"/>
    <w:rsid w:val="00DB64C5"/>
    <w:rsid w:val="00DB6CC2"/>
    <w:rsid w:val="00DB7660"/>
    <w:rsid w:val="00DC26B4"/>
    <w:rsid w:val="00DC2F89"/>
    <w:rsid w:val="00DC3531"/>
    <w:rsid w:val="00DC3B78"/>
    <w:rsid w:val="00DC3EFD"/>
    <w:rsid w:val="00DC5441"/>
    <w:rsid w:val="00DC6092"/>
    <w:rsid w:val="00DC6184"/>
    <w:rsid w:val="00DD07C5"/>
    <w:rsid w:val="00DD2A5A"/>
    <w:rsid w:val="00DD7101"/>
    <w:rsid w:val="00DE3D78"/>
    <w:rsid w:val="00DE4CFB"/>
    <w:rsid w:val="00DE538B"/>
    <w:rsid w:val="00DE6584"/>
    <w:rsid w:val="00DE6C93"/>
    <w:rsid w:val="00DE7D80"/>
    <w:rsid w:val="00DF12E4"/>
    <w:rsid w:val="00DF1D1D"/>
    <w:rsid w:val="00DF1E72"/>
    <w:rsid w:val="00DF1F2C"/>
    <w:rsid w:val="00DF2358"/>
    <w:rsid w:val="00DF74C1"/>
    <w:rsid w:val="00DF79A7"/>
    <w:rsid w:val="00E03348"/>
    <w:rsid w:val="00E0364E"/>
    <w:rsid w:val="00E05809"/>
    <w:rsid w:val="00E05E0F"/>
    <w:rsid w:val="00E108AB"/>
    <w:rsid w:val="00E14BEA"/>
    <w:rsid w:val="00E1615D"/>
    <w:rsid w:val="00E16AE3"/>
    <w:rsid w:val="00E21F0A"/>
    <w:rsid w:val="00E241AB"/>
    <w:rsid w:val="00E25E6A"/>
    <w:rsid w:val="00E25ECA"/>
    <w:rsid w:val="00E26114"/>
    <w:rsid w:val="00E27166"/>
    <w:rsid w:val="00E306DA"/>
    <w:rsid w:val="00E30AD4"/>
    <w:rsid w:val="00E3350D"/>
    <w:rsid w:val="00E34C92"/>
    <w:rsid w:val="00E34D45"/>
    <w:rsid w:val="00E373FE"/>
    <w:rsid w:val="00E40EA2"/>
    <w:rsid w:val="00E43680"/>
    <w:rsid w:val="00E43886"/>
    <w:rsid w:val="00E46B2F"/>
    <w:rsid w:val="00E47611"/>
    <w:rsid w:val="00E47902"/>
    <w:rsid w:val="00E51209"/>
    <w:rsid w:val="00E520B2"/>
    <w:rsid w:val="00E544C3"/>
    <w:rsid w:val="00E55831"/>
    <w:rsid w:val="00E5585A"/>
    <w:rsid w:val="00E55A8C"/>
    <w:rsid w:val="00E61BB5"/>
    <w:rsid w:val="00E629CF"/>
    <w:rsid w:val="00E636C5"/>
    <w:rsid w:val="00E63723"/>
    <w:rsid w:val="00E65CF1"/>
    <w:rsid w:val="00E65D49"/>
    <w:rsid w:val="00E65F78"/>
    <w:rsid w:val="00E6739B"/>
    <w:rsid w:val="00E728B9"/>
    <w:rsid w:val="00E734C6"/>
    <w:rsid w:val="00E73CB0"/>
    <w:rsid w:val="00E77315"/>
    <w:rsid w:val="00E8776F"/>
    <w:rsid w:val="00E900A0"/>
    <w:rsid w:val="00E90290"/>
    <w:rsid w:val="00E957BF"/>
    <w:rsid w:val="00E96570"/>
    <w:rsid w:val="00EA492C"/>
    <w:rsid w:val="00EA6EEE"/>
    <w:rsid w:val="00EA716C"/>
    <w:rsid w:val="00EA7B16"/>
    <w:rsid w:val="00EB24FB"/>
    <w:rsid w:val="00EB61A1"/>
    <w:rsid w:val="00EC0CBF"/>
    <w:rsid w:val="00EC1159"/>
    <w:rsid w:val="00EC31B6"/>
    <w:rsid w:val="00EC424D"/>
    <w:rsid w:val="00EC5781"/>
    <w:rsid w:val="00EC5848"/>
    <w:rsid w:val="00EC7599"/>
    <w:rsid w:val="00ED21B9"/>
    <w:rsid w:val="00ED2A9E"/>
    <w:rsid w:val="00ED2DBB"/>
    <w:rsid w:val="00ED30E1"/>
    <w:rsid w:val="00ED4037"/>
    <w:rsid w:val="00ED74F0"/>
    <w:rsid w:val="00ED78F0"/>
    <w:rsid w:val="00ED7D9C"/>
    <w:rsid w:val="00EE0862"/>
    <w:rsid w:val="00EE4C4C"/>
    <w:rsid w:val="00EE5713"/>
    <w:rsid w:val="00EE60B4"/>
    <w:rsid w:val="00EE6AA8"/>
    <w:rsid w:val="00EF29FE"/>
    <w:rsid w:val="00F010E3"/>
    <w:rsid w:val="00F02548"/>
    <w:rsid w:val="00F04340"/>
    <w:rsid w:val="00F04CA4"/>
    <w:rsid w:val="00F072CF"/>
    <w:rsid w:val="00F127CB"/>
    <w:rsid w:val="00F15599"/>
    <w:rsid w:val="00F16298"/>
    <w:rsid w:val="00F1732F"/>
    <w:rsid w:val="00F24587"/>
    <w:rsid w:val="00F2514D"/>
    <w:rsid w:val="00F262A7"/>
    <w:rsid w:val="00F26D3E"/>
    <w:rsid w:val="00F3677B"/>
    <w:rsid w:val="00F40C88"/>
    <w:rsid w:val="00F418A8"/>
    <w:rsid w:val="00F41958"/>
    <w:rsid w:val="00F426AB"/>
    <w:rsid w:val="00F44189"/>
    <w:rsid w:val="00F452A4"/>
    <w:rsid w:val="00F45A4C"/>
    <w:rsid w:val="00F46D11"/>
    <w:rsid w:val="00F47886"/>
    <w:rsid w:val="00F50613"/>
    <w:rsid w:val="00F5159D"/>
    <w:rsid w:val="00F51B68"/>
    <w:rsid w:val="00F51C95"/>
    <w:rsid w:val="00F544F4"/>
    <w:rsid w:val="00F5705D"/>
    <w:rsid w:val="00F619B6"/>
    <w:rsid w:val="00F629CB"/>
    <w:rsid w:val="00F6385F"/>
    <w:rsid w:val="00F64301"/>
    <w:rsid w:val="00F701B6"/>
    <w:rsid w:val="00F73976"/>
    <w:rsid w:val="00F75A87"/>
    <w:rsid w:val="00F75AE7"/>
    <w:rsid w:val="00F80726"/>
    <w:rsid w:val="00F82407"/>
    <w:rsid w:val="00F82519"/>
    <w:rsid w:val="00F84182"/>
    <w:rsid w:val="00F8518D"/>
    <w:rsid w:val="00F87F3D"/>
    <w:rsid w:val="00F91A7E"/>
    <w:rsid w:val="00F91E2D"/>
    <w:rsid w:val="00F94154"/>
    <w:rsid w:val="00F94BB7"/>
    <w:rsid w:val="00F9636A"/>
    <w:rsid w:val="00F96C9F"/>
    <w:rsid w:val="00F9779A"/>
    <w:rsid w:val="00FA2452"/>
    <w:rsid w:val="00FA4D46"/>
    <w:rsid w:val="00FA5924"/>
    <w:rsid w:val="00FA6224"/>
    <w:rsid w:val="00FA785F"/>
    <w:rsid w:val="00FB311A"/>
    <w:rsid w:val="00FB6A1A"/>
    <w:rsid w:val="00FB7CA3"/>
    <w:rsid w:val="00FB7DD1"/>
    <w:rsid w:val="00FC058C"/>
    <w:rsid w:val="00FC2820"/>
    <w:rsid w:val="00FC29A4"/>
    <w:rsid w:val="00FC2AFA"/>
    <w:rsid w:val="00FC48EF"/>
    <w:rsid w:val="00FC6B5B"/>
    <w:rsid w:val="00FC757A"/>
    <w:rsid w:val="00FD1BF7"/>
    <w:rsid w:val="00FD33EA"/>
    <w:rsid w:val="00FE087A"/>
    <w:rsid w:val="00FF3907"/>
    <w:rsid w:val="00FF66F8"/>
    <w:rsid w:val="00FF7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2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72CF"/>
    <w:rPr>
      <w:sz w:val="18"/>
      <w:szCs w:val="18"/>
    </w:rPr>
  </w:style>
  <w:style w:type="paragraph" w:styleId="a4">
    <w:name w:val="footer"/>
    <w:basedOn w:val="a"/>
    <w:link w:val="Char0"/>
    <w:uiPriority w:val="99"/>
    <w:unhideWhenUsed/>
    <w:rsid w:val="00F072CF"/>
    <w:pPr>
      <w:tabs>
        <w:tab w:val="center" w:pos="4153"/>
        <w:tab w:val="right" w:pos="8306"/>
      </w:tabs>
      <w:snapToGrid w:val="0"/>
      <w:jc w:val="left"/>
    </w:pPr>
    <w:rPr>
      <w:sz w:val="18"/>
      <w:szCs w:val="18"/>
    </w:rPr>
  </w:style>
  <w:style w:type="character" w:customStyle="1" w:styleId="Char0">
    <w:name w:val="页脚 Char"/>
    <w:basedOn w:val="a0"/>
    <w:link w:val="a4"/>
    <w:uiPriority w:val="99"/>
    <w:rsid w:val="00F072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2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72CF"/>
    <w:rPr>
      <w:sz w:val="18"/>
      <w:szCs w:val="18"/>
    </w:rPr>
  </w:style>
  <w:style w:type="paragraph" w:styleId="a4">
    <w:name w:val="footer"/>
    <w:basedOn w:val="a"/>
    <w:link w:val="Char0"/>
    <w:uiPriority w:val="99"/>
    <w:unhideWhenUsed/>
    <w:rsid w:val="00F072CF"/>
    <w:pPr>
      <w:tabs>
        <w:tab w:val="center" w:pos="4153"/>
        <w:tab w:val="right" w:pos="8306"/>
      </w:tabs>
      <w:snapToGrid w:val="0"/>
      <w:jc w:val="left"/>
    </w:pPr>
    <w:rPr>
      <w:sz w:val="18"/>
      <w:szCs w:val="18"/>
    </w:rPr>
  </w:style>
  <w:style w:type="character" w:customStyle="1" w:styleId="Char0">
    <w:name w:val="页脚 Char"/>
    <w:basedOn w:val="a0"/>
    <w:link w:val="a4"/>
    <w:uiPriority w:val="99"/>
    <w:rsid w:val="00F07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李婷</cp:lastModifiedBy>
  <cp:revision>6</cp:revision>
  <dcterms:created xsi:type="dcterms:W3CDTF">2022-12-08T08:16:00Z</dcterms:created>
  <dcterms:modified xsi:type="dcterms:W3CDTF">2023-01-06T07:03:00Z</dcterms:modified>
</cp:coreProperties>
</file>