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0C2F" w:rsidRPr="00AC7531" w:rsidRDefault="00C00C2F" w:rsidP="00AC7531">
      <w:pPr>
        <w:pStyle w:val="Heading1"/>
        <w:spacing w:before="0" w:after="240" w:line="360" w:lineRule="auto"/>
        <w:contextualSpacing w:val="0"/>
        <w:rPr>
          <w:b/>
        </w:rPr>
      </w:pPr>
      <w:r w:rsidRPr="00AC7531">
        <w:rPr>
          <w:b/>
        </w:rPr>
        <w:t>Experiment Overview</w:t>
      </w:r>
    </w:p>
    <w:p w:rsidR="00C00C2F" w:rsidRPr="00961D03" w:rsidRDefault="00C00C2F" w:rsidP="00AC7531">
      <w:pPr>
        <w:pStyle w:val="Heading2"/>
        <w:spacing w:after="240" w:line="360" w:lineRule="auto"/>
        <w:contextualSpacing w:val="0"/>
        <w:rPr>
          <w:sz w:val="28"/>
        </w:rPr>
      </w:pPr>
      <w:r w:rsidRPr="00961D03">
        <w:rPr>
          <w:sz w:val="28"/>
        </w:rPr>
        <w:t>Free Trial Screener</w:t>
      </w:r>
    </w:p>
    <w:p w:rsidR="00CD76DD" w:rsidRDefault="00C00C2F" w:rsidP="00AC7531">
      <w:pPr>
        <w:pStyle w:val="c6"/>
        <w:spacing w:before="0" w:beforeAutospacing="0" w:after="240" w:afterAutospacing="0" w:line="360" w:lineRule="auto"/>
        <w:rPr>
          <w:rFonts w:ascii="Arial" w:hAnsi="Arial" w:cs="Arial"/>
          <w:color w:val="000000"/>
          <w:sz w:val="22"/>
          <w:szCs w:val="22"/>
        </w:rPr>
      </w:pPr>
      <w:proofErr w:type="spellStart"/>
      <w:r>
        <w:rPr>
          <w:rFonts w:ascii="Arial" w:hAnsi="Arial" w:cs="Arial"/>
          <w:color w:val="000000"/>
          <w:sz w:val="22"/>
          <w:szCs w:val="22"/>
        </w:rPr>
        <w:t>Udacity</w:t>
      </w:r>
      <w:proofErr w:type="spellEnd"/>
      <w:r>
        <w:rPr>
          <w:rFonts w:ascii="Arial" w:hAnsi="Arial" w:cs="Arial"/>
          <w:color w:val="000000"/>
          <w:sz w:val="22"/>
          <w:szCs w:val="22"/>
        </w:rPr>
        <w:t xml:space="preserve"> courses have two options on the home page: "start free</w:t>
      </w:r>
      <w:r w:rsidR="00AC7531">
        <w:rPr>
          <w:rFonts w:ascii="Arial" w:hAnsi="Arial" w:cs="Arial"/>
          <w:color w:val="000000"/>
          <w:sz w:val="22"/>
          <w:szCs w:val="22"/>
        </w:rPr>
        <w:t xml:space="preserve"> trial"</w:t>
      </w:r>
      <w:r>
        <w:rPr>
          <w:rFonts w:ascii="Arial" w:hAnsi="Arial" w:cs="Arial"/>
          <w:color w:val="000000"/>
          <w:sz w:val="22"/>
          <w:szCs w:val="22"/>
        </w:rPr>
        <w:t xml:space="preserve"> and "access course materials"</w:t>
      </w:r>
      <w:r w:rsidR="00CD76DD">
        <w:rPr>
          <w:rFonts w:ascii="Arial" w:hAnsi="Arial" w:cs="Arial"/>
          <w:color w:val="000000"/>
          <w:sz w:val="22"/>
          <w:szCs w:val="22"/>
        </w:rPr>
        <w:t>:</w:t>
      </w:r>
      <w:r>
        <w:rPr>
          <w:rFonts w:ascii="Arial" w:hAnsi="Arial" w:cs="Arial"/>
          <w:color w:val="000000"/>
          <w:sz w:val="22"/>
          <w:szCs w:val="22"/>
        </w:rPr>
        <w:t xml:space="preserve"> </w:t>
      </w:r>
    </w:p>
    <w:p w:rsidR="00CD76DD" w:rsidRDefault="00C00C2F" w:rsidP="00AC7531">
      <w:pPr>
        <w:pStyle w:val="c6"/>
        <w:numPr>
          <w:ilvl w:val="0"/>
          <w:numId w:val="3"/>
        </w:numPr>
        <w:spacing w:before="0" w:beforeAutospacing="0" w:after="240" w:afterAutospacing="0" w:line="360" w:lineRule="auto"/>
        <w:rPr>
          <w:rFonts w:ascii="Arial" w:hAnsi="Arial" w:cs="Arial"/>
          <w:color w:val="000000"/>
          <w:sz w:val="22"/>
          <w:szCs w:val="22"/>
        </w:rPr>
      </w:pPr>
      <w:r w:rsidRPr="00CD76DD">
        <w:rPr>
          <w:rFonts w:ascii="Arial" w:hAnsi="Arial" w:cs="Arial"/>
          <w:color w:val="000000"/>
          <w:sz w:val="22"/>
          <w:szCs w:val="22"/>
        </w:rPr>
        <w:t xml:space="preserve">If the student clicks "start free trial", he or she is prompted to enter credit card information before being enrolled in a free trial for the paid version of the course. </w:t>
      </w:r>
      <w:r w:rsidR="00CD76DD" w:rsidRPr="00CD76DD">
        <w:rPr>
          <w:rFonts w:ascii="Arial" w:hAnsi="Arial" w:cs="Arial"/>
          <w:color w:val="000000"/>
          <w:sz w:val="22"/>
          <w:szCs w:val="22"/>
        </w:rPr>
        <w:t>The free trial period lasts for</w:t>
      </w:r>
      <w:r w:rsidRPr="00CD76DD">
        <w:rPr>
          <w:rFonts w:ascii="Arial" w:hAnsi="Arial" w:cs="Arial"/>
          <w:color w:val="000000"/>
          <w:sz w:val="22"/>
          <w:szCs w:val="22"/>
        </w:rPr>
        <w:t xml:space="preserve"> 14 days, </w:t>
      </w:r>
      <w:r w:rsidR="00AC7531">
        <w:rPr>
          <w:rFonts w:ascii="Arial" w:hAnsi="Arial" w:cs="Arial"/>
          <w:color w:val="000000"/>
          <w:sz w:val="22"/>
          <w:szCs w:val="22"/>
        </w:rPr>
        <w:t>after which the student receives</w:t>
      </w:r>
      <w:r w:rsidR="00CD76DD" w:rsidRPr="00CD76DD">
        <w:rPr>
          <w:rFonts w:ascii="Arial" w:hAnsi="Arial" w:cs="Arial"/>
          <w:color w:val="000000"/>
          <w:sz w:val="22"/>
          <w:szCs w:val="22"/>
        </w:rPr>
        <w:t xml:space="preserve"> automatic monthly charge</w:t>
      </w:r>
      <w:r w:rsidR="00AC7531">
        <w:rPr>
          <w:rFonts w:ascii="Arial" w:hAnsi="Arial" w:cs="Arial"/>
          <w:color w:val="000000"/>
          <w:sz w:val="22"/>
          <w:szCs w:val="22"/>
        </w:rPr>
        <w:t>s</w:t>
      </w:r>
      <w:r w:rsidR="00CD76DD" w:rsidRPr="00CD76DD">
        <w:rPr>
          <w:rFonts w:ascii="Arial" w:hAnsi="Arial" w:cs="Arial"/>
          <w:color w:val="000000"/>
          <w:sz w:val="22"/>
          <w:szCs w:val="22"/>
        </w:rPr>
        <w:t xml:space="preserve"> unless the subscription is canceled. </w:t>
      </w:r>
    </w:p>
    <w:p w:rsidR="00C00C2F" w:rsidRPr="00CD76DD" w:rsidRDefault="00C00C2F" w:rsidP="00AC7531">
      <w:pPr>
        <w:pStyle w:val="c6"/>
        <w:numPr>
          <w:ilvl w:val="0"/>
          <w:numId w:val="3"/>
        </w:numPr>
        <w:spacing w:before="0" w:beforeAutospacing="0" w:after="240" w:afterAutospacing="0" w:line="360" w:lineRule="auto"/>
        <w:rPr>
          <w:rFonts w:ascii="Arial" w:hAnsi="Arial" w:cs="Arial"/>
          <w:color w:val="000000"/>
          <w:sz w:val="22"/>
          <w:szCs w:val="22"/>
        </w:rPr>
      </w:pPr>
      <w:r w:rsidRPr="00CD76DD">
        <w:rPr>
          <w:rFonts w:ascii="Arial" w:hAnsi="Arial" w:cs="Arial"/>
          <w:color w:val="000000"/>
          <w:sz w:val="22"/>
          <w:szCs w:val="22"/>
        </w:rPr>
        <w:t xml:space="preserve">If the student clicks "access course materials", </w:t>
      </w:r>
      <w:r w:rsidR="00CD76DD">
        <w:rPr>
          <w:rFonts w:ascii="Arial" w:hAnsi="Arial" w:cs="Arial"/>
          <w:color w:val="000000"/>
          <w:sz w:val="22"/>
          <w:szCs w:val="22"/>
        </w:rPr>
        <w:t>he or she</w:t>
      </w:r>
      <w:r w:rsidRPr="00CD76DD">
        <w:rPr>
          <w:rFonts w:ascii="Arial" w:hAnsi="Arial" w:cs="Arial"/>
          <w:color w:val="000000"/>
          <w:sz w:val="22"/>
          <w:szCs w:val="22"/>
        </w:rPr>
        <w:t xml:space="preserve"> </w:t>
      </w:r>
      <w:r w:rsidR="00CD76DD">
        <w:rPr>
          <w:rFonts w:ascii="Arial" w:hAnsi="Arial" w:cs="Arial"/>
          <w:color w:val="000000"/>
          <w:sz w:val="22"/>
          <w:szCs w:val="22"/>
        </w:rPr>
        <w:t>can</w:t>
      </w:r>
      <w:r w:rsidRPr="00CD76DD">
        <w:rPr>
          <w:rFonts w:ascii="Arial" w:hAnsi="Arial" w:cs="Arial"/>
          <w:color w:val="000000"/>
          <w:sz w:val="22"/>
          <w:szCs w:val="22"/>
        </w:rPr>
        <w:t xml:space="preserve"> view the videos and take the quizzes for free</w:t>
      </w:r>
      <w:r w:rsidR="00CD76DD">
        <w:rPr>
          <w:rFonts w:ascii="Arial" w:hAnsi="Arial" w:cs="Arial"/>
          <w:color w:val="000000"/>
          <w:sz w:val="22"/>
          <w:szCs w:val="22"/>
        </w:rPr>
        <w:t xml:space="preserve"> but without access to </w:t>
      </w:r>
      <w:r w:rsidRPr="00CD76DD">
        <w:rPr>
          <w:rFonts w:ascii="Arial" w:hAnsi="Arial" w:cs="Arial"/>
          <w:color w:val="000000"/>
          <w:sz w:val="22"/>
          <w:szCs w:val="22"/>
        </w:rPr>
        <w:t>coaching support</w:t>
      </w:r>
      <w:r w:rsidR="00CD76DD">
        <w:rPr>
          <w:rFonts w:ascii="Arial" w:hAnsi="Arial" w:cs="Arial"/>
          <w:color w:val="000000"/>
          <w:sz w:val="22"/>
          <w:szCs w:val="22"/>
        </w:rPr>
        <w:t xml:space="preserve">, </w:t>
      </w:r>
      <w:r w:rsidRPr="00CD76DD">
        <w:rPr>
          <w:rFonts w:ascii="Arial" w:hAnsi="Arial" w:cs="Arial"/>
          <w:color w:val="000000"/>
          <w:sz w:val="22"/>
          <w:szCs w:val="22"/>
        </w:rPr>
        <w:t xml:space="preserve">a verified certificate, </w:t>
      </w:r>
      <w:r w:rsidR="00CD76DD">
        <w:rPr>
          <w:rFonts w:ascii="Arial" w:hAnsi="Arial" w:cs="Arial"/>
          <w:color w:val="000000"/>
          <w:sz w:val="22"/>
          <w:szCs w:val="22"/>
        </w:rPr>
        <w:t>or final project submissions for</w:t>
      </w:r>
      <w:r w:rsidRPr="00CD76DD">
        <w:rPr>
          <w:rFonts w:ascii="Arial" w:hAnsi="Arial" w:cs="Arial"/>
          <w:color w:val="000000"/>
          <w:sz w:val="22"/>
          <w:szCs w:val="22"/>
        </w:rPr>
        <w:t xml:space="preserve"> feedback</w:t>
      </w:r>
      <w:r w:rsidR="00CD76DD">
        <w:rPr>
          <w:rFonts w:ascii="Arial" w:hAnsi="Arial" w:cs="Arial"/>
          <w:color w:val="000000"/>
          <w:sz w:val="22"/>
          <w:szCs w:val="22"/>
        </w:rPr>
        <w:t>, all of which are available under the paid version</w:t>
      </w:r>
      <w:r w:rsidRPr="00CD76DD">
        <w:rPr>
          <w:rFonts w:ascii="Arial" w:hAnsi="Arial" w:cs="Arial"/>
          <w:color w:val="000000"/>
          <w:sz w:val="22"/>
          <w:szCs w:val="22"/>
        </w:rPr>
        <w:t>.</w:t>
      </w:r>
    </w:p>
    <w:p w:rsidR="00CD76DD" w:rsidRDefault="00CD76DD" w:rsidP="00AC7531">
      <w:pPr>
        <w:pStyle w:val="c6"/>
        <w:spacing w:before="0" w:beforeAutospacing="0" w:after="240" w:afterAutospacing="0" w:line="360" w:lineRule="auto"/>
        <w:rPr>
          <w:rFonts w:ascii="Arial" w:hAnsi="Arial" w:cs="Arial"/>
          <w:color w:val="000000"/>
          <w:sz w:val="22"/>
          <w:szCs w:val="22"/>
        </w:rPr>
      </w:pPr>
      <w:proofErr w:type="spellStart"/>
      <w:r>
        <w:rPr>
          <w:rFonts w:ascii="Arial" w:hAnsi="Arial" w:cs="Arial"/>
          <w:color w:val="000000"/>
          <w:sz w:val="22"/>
          <w:szCs w:val="22"/>
        </w:rPr>
        <w:t>Udacity</w:t>
      </w:r>
      <w:proofErr w:type="spellEnd"/>
      <w:r>
        <w:rPr>
          <w:rFonts w:ascii="Arial" w:hAnsi="Arial" w:cs="Arial"/>
          <w:color w:val="000000"/>
          <w:sz w:val="22"/>
          <w:szCs w:val="22"/>
        </w:rPr>
        <w:t xml:space="preserve"> experimented with a free trial screener, where </w:t>
      </w:r>
      <w:r w:rsidR="00C00C2F">
        <w:rPr>
          <w:rFonts w:ascii="Arial" w:hAnsi="Arial" w:cs="Arial"/>
          <w:color w:val="000000"/>
          <w:sz w:val="22"/>
          <w:szCs w:val="22"/>
        </w:rPr>
        <w:t>if the stu</w:t>
      </w:r>
      <w:r>
        <w:rPr>
          <w:rFonts w:ascii="Arial" w:hAnsi="Arial" w:cs="Arial"/>
          <w:color w:val="000000"/>
          <w:sz w:val="22"/>
          <w:szCs w:val="22"/>
        </w:rPr>
        <w:t>dent clicked "start free trial,"</w:t>
      </w:r>
      <w:r w:rsidR="00C00C2F">
        <w:rPr>
          <w:rFonts w:ascii="Arial" w:hAnsi="Arial" w:cs="Arial"/>
          <w:color w:val="000000"/>
          <w:sz w:val="22"/>
          <w:szCs w:val="22"/>
        </w:rPr>
        <w:t xml:space="preserve"> </w:t>
      </w:r>
      <w:r>
        <w:rPr>
          <w:rFonts w:ascii="Arial" w:hAnsi="Arial" w:cs="Arial"/>
          <w:color w:val="000000"/>
          <w:sz w:val="22"/>
          <w:szCs w:val="22"/>
        </w:rPr>
        <w:t>he or she was</w:t>
      </w:r>
      <w:r w:rsidR="00C00C2F">
        <w:rPr>
          <w:rFonts w:ascii="Arial" w:hAnsi="Arial" w:cs="Arial"/>
          <w:color w:val="000000"/>
          <w:sz w:val="22"/>
          <w:szCs w:val="22"/>
        </w:rPr>
        <w:t xml:space="preserve"> asked how </w:t>
      </w:r>
      <w:r>
        <w:rPr>
          <w:rFonts w:ascii="Arial" w:hAnsi="Arial" w:cs="Arial"/>
          <w:color w:val="000000"/>
          <w:sz w:val="22"/>
          <w:szCs w:val="22"/>
        </w:rPr>
        <w:t>many hours per week they would commit to the course:</w:t>
      </w:r>
    </w:p>
    <w:p w:rsidR="00CD76DD" w:rsidRDefault="00C00C2F" w:rsidP="00AC7531">
      <w:pPr>
        <w:pStyle w:val="c6"/>
        <w:numPr>
          <w:ilvl w:val="0"/>
          <w:numId w:val="4"/>
        </w:numPr>
        <w:spacing w:before="0" w:beforeAutospacing="0" w:after="240" w:afterAutospacing="0" w:line="360" w:lineRule="auto"/>
        <w:rPr>
          <w:rFonts w:ascii="Arial" w:hAnsi="Arial" w:cs="Arial"/>
          <w:color w:val="000000"/>
          <w:sz w:val="22"/>
          <w:szCs w:val="22"/>
        </w:rPr>
      </w:pPr>
      <w:r>
        <w:rPr>
          <w:rFonts w:ascii="Arial" w:hAnsi="Arial" w:cs="Arial"/>
          <w:color w:val="000000"/>
          <w:sz w:val="22"/>
          <w:szCs w:val="22"/>
        </w:rPr>
        <w:t>If the student indicated 5</w:t>
      </w:r>
      <w:r w:rsidR="00CD76DD">
        <w:rPr>
          <w:rFonts w:ascii="Arial" w:hAnsi="Arial" w:cs="Arial"/>
          <w:color w:val="000000"/>
          <w:sz w:val="22"/>
          <w:szCs w:val="22"/>
        </w:rPr>
        <w:t>+</w:t>
      </w:r>
      <w:r>
        <w:rPr>
          <w:rFonts w:ascii="Arial" w:hAnsi="Arial" w:cs="Arial"/>
          <w:color w:val="000000"/>
          <w:sz w:val="22"/>
          <w:szCs w:val="22"/>
        </w:rPr>
        <w:t xml:space="preserve"> hours per week, </w:t>
      </w:r>
      <w:r w:rsidR="00CD76DD">
        <w:rPr>
          <w:rFonts w:ascii="Arial" w:hAnsi="Arial" w:cs="Arial"/>
          <w:color w:val="000000"/>
          <w:sz w:val="22"/>
          <w:szCs w:val="22"/>
        </w:rPr>
        <w:t>he or she</w:t>
      </w:r>
      <w:r>
        <w:rPr>
          <w:rFonts w:ascii="Arial" w:hAnsi="Arial" w:cs="Arial"/>
          <w:color w:val="000000"/>
          <w:sz w:val="22"/>
          <w:szCs w:val="22"/>
        </w:rPr>
        <w:t xml:space="preserve"> would be taken through the checkout process. </w:t>
      </w:r>
    </w:p>
    <w:p w:rsidR="00CD76DD" w:rsidRDefault="00C00C2F" w:rsidP="00AC7531">
      <w:pPr>
        <w:pStyle w:val="c6"/>
        <w:numPr>
          <w:ilvl w:val="0"/>
          <w:numId w:val="4"/>
        </w:numPr>
        <w:spacing w:before="0" w:beforeAutospacing="0" w:after="240" w:afterAutospacing="0" w:line="360" w:lineRule="auto"/>
        <w:rPr>
          <w:rFonts w:ascii="Arial" w:hAnsi="Arial" w:cs="Arial"/>
          <w:color w:val="000000"/>
          <w:sz w:val="22"/>
          <w:szCs w:val="22"/>
        </w:rPr>
      </w:pPr>
      <w:r>
        <w:rPr>
          <w:rFonts w:ascii="Arial" w:hAnsi="Arial" w:cs="Arial"/>
          <w:color w:val="000000"/>
          <w:sz w:val="22"/>
          <w:szCs w:val="22"/>
        </w:rPr>
        <w:t xml:space="preserve">If </w:t>
      </w:r>
      <w:r w:rsidR="00CD76DD">
        <w:rPr>
          <w:rFonts w:ascii="Arial" w:hAnsi="Arial" w:cs="Arial"/>
          <w:color w:val="000000"/>
          <w:sz w:val="22"/>
          <w:szCs w:val="22"/>
        </w:rPr>
        <w:t>the student</w:t>
      </w:r>
      <w:r>
        <w:rPr>
          <w:rFonts w:ascii="Arial" w:hAnsi="Arial" w:cs="Arial"/>
          <w:color w:val="000000"/>
          <w:sz w:val="22"/>
          <w:szCs w:val="22"/>
        </w:rPr>
        <w:t xml:space="preserve"> indicated fewer than 5 hours per week, a message would appear indicating that </w:t>
      </w:r>
      <w:proofErr w:type="spellStart"/>
      <w:r>
        <w:rPr>
          <w:rFonts w:ascii="Arial" w:hAnsi="Arial" w:cs="Arial"/>
          <w:color w:val="000000"/>
          <w:sz w:val="22"/>
          <w:szCs w:val="22"/>
        </w:rPr>
        <w:t>Udacity</w:t>
      </w:r>
      <w:proofErr w:type="spellEnd"/>
      <w:r>
        <w:rPr>
          <w:rFonts w:ascii="Arial" w:hAnsi="Arial" w:cs="Arial"/>
          <w:color w:val="000000"/>
          <w:sz w:val="22"/>
          <w:szCs w:val="22"/>
        </w:rPr>
        <w:t xml:space="preserve"> courses usually require a greater time commi</w:t>
      </w:r>
      <w:r w:rsidR="00CD76DD">
        <w:rPr>
          <w:rFonts w:ascii="Arial" w:hAnsi="Arial" w:cs="Arial"/>
          <w:color w:val="000000"/>
          <w:sz w:val="22"/>
          <w:szCs w:val="22"/>
        </w:rPr>
        <w:t>tment for successful completion and suggest</w:t>
      </w:r>
      <w:r>
        <w:rPr>
          <w:rFonts w:ascii="Arial" w:hAnsi="Arial" w:cs="Arial"/>
          <w:color w:val="000000"/>
          <w:sz w:val="22"/>
          <w:szCs w:val="22"/>
        </w:rPr>
        <w:t xml:space="preserve"> the student access the course materials for free. </w:t>
      </w:r>
    </w:p>
    <w:p w:rsidR="00C00C2F" w:rsidRPr="00AC7531" w:rsidRDefault="00C00C2F" w:rsidP="00AC7531">
      <w:pPr>
        <w:pStyle w:val="c6"/>
        <w:spacing w:before="0" w:beforeAutospacing="0" w:after="240" w:afterAutospacing="0" w:line="360" w:lineRule="auto"/>
        <w:rPr>
          <w:rFonts w:ascii="Arial" w:hAnsi="Arial" w:cs="Arial"/>
          <w:color w:val="000000"/>
          <w:sz w:val="22"/>
          <w:szCs w:val="22"/>
        </w:rPr>
      </w:pPr>
      <w:r>
        <w:rPr>
          <w:rFonts w:ascii="Arial" w:hAnsi="Arial" w:cs="Arial"/>
          <w:color w:val="000000"/>
          <w:sz w:val="22"/>
          <w:szCs w:val="22"/>
        </w:rPr>
        <w:t xml:space="preserve">The hypothesis was </w:t>
      </w:r>
      <w:r w:rsidR="00CD76DD">
        <w:rPr>
          <w:rFonts w:ascii="Arial" w:hAnsi="Arial" w:cs="Arial"/>
          <w:color w:val="000000"/>
          <w:sz w:val="22"/>
          <w:szCs w:val="22"/>
        </w:rPr>
        <w:t>the free trial screener</w:t>
      </w:r>
      <w:r>
        <w:rPr>
          <w:rFonts w:ascii="Arial" w:hAnsi="Arial" w:cs="Arial"/>
          <w:color w:val="000000"/>
          <w:sz w:val="22"/>
          <w:szCs w:val="22"/>
        </w:rPr>
        <w:t xml:space="preserve"> set</w:t>
      </w:r>
      <w:r w:rsidR="00CD76DD">
        <w:rPr>
          <w:rFonts w:ascii="Arial" w:hAnsi="Arial" w:cs="Arial"/>
          <w:color w:val="000000"/>
          <w:sz w:val="22"/>
          <w:szCs w:val="22"/>
        </w:rPr>
        <w:t>s</w:t>
      </w:r>
      <w:r>
        <w:rPr>
          <w:rFonts w:ascii="Arial" w:hAnsi="Arial" w:cs="Arial"/>
          <w:color w:val="000000"/>
          <w:sz w:val="22"/>
          <w:szCs w:val="22"/>
        </w:rPr>
        <w:t xml:space="preserve"> clearer expectations for students upfront, </w:t>
      </w:r>
      <w:r w:rsidR="00CD76DD">
        <w:rPr>
          <w:rFonts w:ascii="Arial" w:hAnsi="Arial" w:cs="Arial"/>
          <w:color w:val="000000"/>
          <w:sz w:val="22"/>
          <w:szCs w:val="22"/>
        </w:rPr>
        <w:t xml:space="preserve">ultimately </w:t>
      </w:r>
      <w:r>
        <w:rPr>
          <w:rFonts w:ascii="Arial" w:hAnsi="Arial" w:cs="Arial"/>
          <w:color w:val="000000"/>
          <w:sz w:val="22"/>
          <w:szCs w:val="22"/>
        </w:rPr>
        <w:t xml:space="preserve">reducing the number of frustrated students who </w:t>
      </w:r>
      <w:r w:rsidR="00CD76DD">
        <w:rPr>
          <w:rFonts w:ascii="Arial" w:hAnsi="Arial" w:cs="Arial"/>
          <w:color w:val="000000"/>
          <w:sz w:val="22"/>
          <w:szCs w:val="22"/>
        </w:rPr>
        <w:t>leave</w:t>
      </w:r>
      <w:r>
        <w:rPr>
          <w:rFonts w:ascii="Arial" w:hAnsi="Arial" w:cs="Arial"/>
          <w:color w:val="000000"/>
          <w:sz w:val="22"/>
          <w:szCs w:val="22"/>
        </w:rPr>
        <w:t xml:space="preserve"> </w:t>
      </w:r>
      <w:r w:rsidR="00F97BE8">
        <w:rPr>
          <w:rFonts w:ascii="Arial" w:hAnsi="Arial" w:cs="Arial"/>
          <w:color w:val="000000"/>
          <w:sz w:val="22"/>
          <w:szCs w:val="22"/>
        </w:rPr>
        <w:t>the free trial</w:t>
      </w:r>
      <w:bookmarkStart w:id="0" w:name="_GoBack"/>
      <w:bookmarkEnd w:id="0"/>
      <w:r>
        <w:rPr>
          <w:rFonts w:ascii="Arial" w:hAnsi="Arial" w:cs="Arial"/>
          <w:color w:val="000000"/>
          <w:sz w:val="22"/>
          <w:szCs w:val="22"/>
        </w:rPr>
        <w:t xml:space="preserve">. If </w:t>
      </w:r>
      <w:r w:rsidR="00AC7531">
        <w:rPr>
          <w:rFonts w:ascii="Arial" w:hAnsi="Arial" w:cs="Arial"/>
          <w:color w:val="000000"/>
          <w:sz w:val="22"/>
          <w:szCs w:val="22"/>
        </w:rPr>
        <w:t>the hypothesis holds true</w:t>
      </w:r>
      <w:r>
        <w:rPr>
          <w:rFonts w:ascii="Arial" w:hAnsi="Arial" w:cs="Arial"/>
          <w:color w:val="000000"/>
          <w:sz w:val="22"/>
          <w:szCs w:val="22"/>
        </w:rPr>
        <w:t xml:space="preserve">, </w:t>
      </w:r>
      <w:proofErr w:type="spellStart"/>
      <w:r>
        <w:rPr>
          <w:rFonts w:ascii="Arial" w:hAnsi="Arial" w:cs="Arial"/>
          <w:color w:val="000000"/>
          <w:sz w:val="22"/>
          <w:szCs w:val="22"/>
        </w:rPr>
        <w:t>Udacity</w:t>
      </w:r>
      <w:proofErr w:type="spellEnd"/>
      <w:r>
        <w:rPr>
          <w:rFonts w:ascii="Arial" w:hAnsi="Arial" w:cs="Arial"/>
          <w:color w:val="000000"/>
          <w:sz w:val="22"/>
          <w:szCs w:val="22"/>
        </w:rPr>
        <w:t xml:space="preserve"> could improve the overall student experience and improve coaches' capacity to support students who are likely to complete the course.</w:t>
      </w:r>
    </w:p>
    <w:p w:rsidR="00051F47" w:rsidRDefault="009C4DCE" w:rsidP="00AC7531">
      <w:pPr>
        <w:pStyle w:val="Heading1"/>
        <w:spacing w:before="0" w:after="240" w:line="360" w:lineRule="auto"/>
        <w:contextualSpacing w:val="0"/>
        <w:rPr>
          <w:b/>
        </w:rPr>
      </w:pPr>
      <w:bookmarkStart w:id="1" w:name="h.h5scg48r8tew" w:colFirst="0" w:colLast="0"/>
      <w:bookmarkEnd w:id="1"/>
      <w:r w:rsidRPr="00AC7531">
        <w:rPr>
          <w:b/>
        </w:rPr>
        <w:t>Experiment Design</w:t>
      </w:r>
    </w:p>
    <w:p w:rsidR="00D0530F" w:rsidRPr="00D0530F" w:rsidRDefault="00D0530F" w:rsidP="00D0530F">
      <w:pPr>
        <w:pStyle w:val="c6"/>
        <w:spacing w:before="0" w:beforeAutospacing="0" w:after="240" w:afterAutospacing="0" w:line="360" w:lineRule="auto"/>
        <w:rPr>
          <w:rFonts w:ascii="Arial" w:hAnsi="Arial" w:cs="Arial"/>
          <w:color w:val="000000"/>
          <w:sz w:val="22"/>
          <w:szCs w:val="22"/>
        </w:rPr>
      </w:pPr>
      <w:r w:rsidRPr="00D0530F">
        <w:rPr>
          <w:rFonts w:ascii="Arial" w:hAnsi="Arial" w:cs="Arial"/>
          <w:color w:val="000000"/>
          <w:sz w:val="22"/>
          <w:szCs w:val="22"/>
        </w:rPr>
        <w:t xml:space="preserve">The goal of the experiment is to decrease the number of unprepared or uncommitted students from enrolling without decreasing revenue. In other words, the screener should adequately filter </w:t>
      </w:r>
      <w:r w:rsidRPr="00D0530F">
        <w:rPr>
          <w:rFonts w:ascii="Arial" w:hAnsi="Arial" w:cs="Arial"/>
          <w:color w:val="000000"/>
          <w:sz w:val="22"/>
          <w:szCs w:val="22"/>
        </w:rPr>
        <w:lastRenderedPageBreak/>
        <w:t>out the students who will enroll but drop out before the free trial period ends, without making the first payment.</w:t>
      </w:r>
    </w:p>
    <w:p w:rsidR="005576B1" w:rsidRPr="00D0530F" w:rsidRDefault="009C4DCE" w:rsidP="00D0530F">
      <w:pPr>
        <w:pStyle w:val="Heading2"/>
        <w:spacing w:after="240" w:line="360" w:lineRule="auto"/>
        <w:contextualSpacing w:val="0"/>
        <w:rPr>
          <w:sz w:val="28"/>
        </w:rPr>
      </w:pPr>
      <w:bookmarkStart w:id="2" w:name="h.ur1kt3v5q7l8" w:colFirst="0" w:colLast="0"/>
      <w:bookmarkEnd w:id="2"/>
      <w:r w:rsidRPr="00961D03">
        <w:rPr>
          <w:sz w:val="28"/>
        </w:rPr>
        <w:t>Metric Choice</w:t>
      </w:r>
    </w:p>
    <w:p w:rsidR="00CD5F71" w:rsidRDefault="005576B1" w:rsidP="00AC7531">
      <w:pPr>
        <w:spacing w:after="240" w:line="360" w:lineRule="auto"/>
      </w:pPr>
      <w:r w:rsidRPr="005576B1">
        <w:rPr>
          <w:b/>
        </w:rPr>
        <w:t xml:space="preserve">Invariant metrics: </w:t>
      </w:r>
      <w:r>
        <w:t>number of cookies, number of clicks</w:t>
      </w:r>
      <w:r w:rsidR="00CD5F71">
        <w:t>, click-through-probability</w:t>
      </w:r>
    </w:p>
    <w:p w:rsidR="00CD5F71" w:rsidRDefault="00CD5F71" w:rsidP="00AC7531">
      <w:pPr>
        <w:spacing w:after="240" w:line="360" w:lineRule="auto"/>
      </w:pPr>
      <w:r>
        <w:t xml:space="preserve">Invariant metrics are metrics that should not change across experiment and control groups. </w:t>
      </w:r>
      <w:r w:rsidR="000D0DCB">
        <w:t xml:space="preserve">Because these metrics </w:t>
      </w:r>
      <w:r w:rsidR="00AC7531">
        <w:t>are “invariant</w:t>
      </w:r>
      <w:r w:rsidR="000D0DCB">
        <w:t>,</w:t>
      </w:r>
      <w:r w:rsidR="00AC7531">
        <w:t>”</w:t>
      </w:r>
      <w:r w:rsidR="000D0DCB">
        <w:t xml:space="preserve"> they cannot be used as evaluation metrics to determine if the change being tested had an effect on the metric.</w:t>
      </w:r>
    </w:p>
    <w:p w:rsidR="000D0DCB" w:rsidRDefault="005576B1" w:rsidP="00AC7531">
      <w:pPr>
        <w:spacing w:after="240" w:line="360" w:lineRule="auto"/>
        <w:rPr>
          <w:rFonts w:eastAsia="Times New Roman"/>
        </w:rPr>
      </w:pPr>
      <w:r w:rsidRPr="002B58EA">
        <w:rPr>
          <w:rFonts w:eastAsia="Times New Roman"/>
          <w:bCs/>
          <w:i/>
        </w:rPr>
        <w:t>Number of cookies</w:t>
      </w:r>
      <w:r w:rsidRPr="005576B1">
        <w:rPr>
          <w:rFonts w:eastAsia="Times New Roman"/>
          <w:b/>
          <w:bCs/>
        </w:rPr>
        <w:t>:</w:t>
      </w:r>
      <w:r>
        <w:rPr>
          <w:rFonts w:eastAsia="Times New Roman"/>
        </w:rPr>
        <w:t> The</w:t>
      </w:r>
      <w:r w:rsidRPr="005576B1">
        <w:rPr>
          <w:rFonts w:eastAsia="Times New Roman"/>
        </w:rPr>
        <w:t xml:space="preserve"> number of unique cookies t</w:t>
      </w:r>
      <w:r w:rsidR="002B58EA">
        <w:rPr>
          <w:rFonts w:eastAsia="Times New Roman"/>
        </w:rPr>
        <w:t>o view the course overview page</w:t>
      </w:r>
    </w:p>
    <w:p w:rsidR="005576B1" w:rsidRPr="005576B1" w:rsidRDefault="00CD5F71" w:rsidP="00AC7531">
      <w:pPr>
        <w:numPr>
          <w:ilvl w:val="0"/>
          <w:numId w:val="1"/>
        </w:numPr>
        <w:spacing w:after="240" w:line="360" w:lineRule="auto"/>
        <w:rPr>
          <w:rFonts w:eastAsia="Times New Roman"/>
        </w:rPr>
      </w:pPr>
      <w:r>
        <w:rPr>
          <w:rFonts w:eastAsia="Times New Roman"/>
        </w:rPr>
        <w:t xml:space="preserve">The initial unit of diversion is a cookie, so this metric should be evenly distributed across experiment and control groups, </w:t>
      </w:r>
      <w:r w:rsidR="000D0DCB">
        <w:rPr>
          <w:rFonts w:eastAsia="Times New Roman"/>
        </w:rPr>
        <w:t>allowing it to be used as</w:t>
      </w:r>
      <w:r>
        <w:rPr>
          <w:rFonts w:eastAsia="Times New Roman"/>
        </w:rPr>
        <w:t xml:space="preserve"> invariant metric.</w:t>
      </w:r>
    </w:p>
    <w:p w:rsidR="000D0DCB" w:rsidRDefault="005576B1" w:rsidP="00AC7531">
      <w:pPr>
        <w:spacing w:after="240" w:line="360" w:lineRule="auto"/>
        <w:rPr>
          <w:rFonts w:eastAsia="Times New Roman"/>
        </w:rPr>
      </w:pPr>
      <w:r w:rsidRPr="002B58EA">
        <w:rPr>
          <w:rFonts w:eastAsia="Times New Roman"/>
          <w:bCs/>
          <w:i/>
        </w:rPr>
        <w:t>Number of clicks</w:t>
      </w:r>
      <w:r w:rsidRPr="005576B1">
        <w:rPr>
          <w:rFonts w:eastAsia="Times New Roman"/>
          <w:b/>
          <w:bCs/>
        </w:rPr>
        <w:t>: </w:t>
      </w:r>
      <w:r w:rsidR="000D0DCB" w:rsidRPr="000D0DCB">
        <w:rPr>
          <w:rFonts w:eastAsia="Times New Roman"/>
          <w:bCs/>
        </w:rPr>
        <w:t>The</w:t>
      </w:r>
      <w:r w:rsidRPr="005576B1">
        <w:rPr>
          <w:rFonts w:eastAsia="Times New Roman"/>
        </w:rPr>
        <w:t xml:space="preserve"> number of unique cookies to clic</w:t>
      </w:r>
      <w:r w:rsidR="002B58EA">
        <w:rPr>
          <w:rFonts w:eastAsia="Times New Roman"/>
        </w:rPr>
        <w:t>k the "s</w:t>
      </w:r>
      <w:r>
        <w:rPr>
          <w:rFonts w:eastAsia="Times New Roman"/>
        </w:rPr>
        <w:t>ta</w:t>
      </w:r>
      <w:r w:rsidR="002B58EA">
        <w:rPr>
          <w:rFonts w:eastAsia="Times New Roman"/>
        </w:rPr>
        <w:t>rt free trial" button</w:t>
      </w:r>
    </w:p>
    <w:p w:rsidR="005576B1" w:rsidRPr="000D0DCB" w:rsidRDefault="00CD5F71" w:rsidP="00AC7531">
      <w:pPr>
        <w:pStyle w:val="ListParagraph"/>
        <w:numPr>
          <w:ilvl w:val="0"/>
          <w:numId w:val="2"/>
        </w:numPr>
        <w:spacing w:after="240" w:line="360" w:lineRule="auto"/>
        <w:rPr>
          <w:rFonts w:eastAsia="Times New Roman"/>
        </w:rPr>
      </w:pPr>
      <w:r w:rsidRPr="000D0DCB">
        <w:rPr>
          <w:rFonts w:eastAsia="Times New Roman"/>
        </w:rPr>
        <w:t xml:space="preserve">Because the change being tested </w:t>
      </w:r>
      <w:r w:rsidR="002B58EA">
        <w:rPr>
          <w:rFonts w:eastAsia="Times New Roman"/>
        </w:rPr>
        <w:t xml:space="preserve">(free trial screener) </w:t>
      </w:r>
      <w:r w:rsidRPr="000D0DCB">
        <w:rPr>
          <w:rFonts w:eastAsia="Times New Roman"/>
        </w:rPr>
        <w:t xml:space="preserve">occurs only after a user has clicked on the </w:t>
      </w:r>
      <w:r w:rsidR="002B58EA">
        <w:rPr>
          <w:rFonts w:eastAsia="Times New Roman"/>
        </w:rPr>
        <w:t>“s</w:t>
      </w:r>
      <w:r w:rsidRPr="000D0DCB">
        <w:rPr>
          <w:rFonts w:eastAsia="Times New Roman"/>
        </w:rPr>
        <w:t xml:space="preserve">tart free trial” button, the probability of a </w:t>
      </w:r>
      <w:r w:rsidR="00050E12">
        <w:rPr>
          <w:rFonts w:eastAsia="Times New Roman"/>
        </w:rPr>
        <w:t>student</w:t>
      </w:r>
      <w:r w:rsidRPr="000D0DCB">
        <w:rPr>
          <w:rFonts w:eastAsia="Times New Roman"/>
        </w:rPr>
        <w:t xml:space="preserve"> clicking on the </w:t>
      </w:r>
      <w:r w:rsidR="002B58EA">
        <w:rPr>
          <w:rFonts w:eastAsia="Times New Roman"/>
        </w:rPr>
        <w:t>“s</w:t>
      </w:r>
      <w:r w:rsidRPr="000D0DCB">
        <w:rPr>
          <w:rFonts w:eastAsia="Times New Roman"/>
        </w:rPr>
        <w:t>tart free trial” remains unchanged, and hence, the number of clicks can be used as an invariant metric.</w:t>
      </w:r>
    </w:p>
    <w:p w:rsidR="000D0DCB" w:rsidRPr="000D0DCB" w:rsidRDefault="00CB601C" w:rsidP="00AC7531">
      <w:pPr>
        <w:spacing w:after="240" w:line="360" w:lineRule="auto"/>
      </w:pPr>
      <w:r w:rsidRPr="002B58EA">
        <w:rPr>
          <w:rFonts w:eastAsia="Times New Roman"/>
          <w:bCs/>
          <w:i/>
        </w:rPr>
        <w:t>Click-through-probability</w:t>
      </w:r>
      <w:r w:rsidRPr="005576B1">
        <w:rPr>
          <w:rFonts w:eastAsia="Times New Roman"/>
          <w:b/>
          <w:bCs/>
        </w:rPr>
        <w:t>:</w:t>
      </w:r>
      <w:r w:rsidRPr="005576B1">
        <w:rPr>
          <w:rFonts w:eastAsia="Times New Roman"/>
        </w:rPr>
        <w:t> The number o</w:t>
      </w:r>
      <w:r w:rsidR="00050E12">
        <w:rPr>
          <w:rFonts w:eastAsia="Times New Roman"/>
        </w:rPr>
        <w:t>f unique cookies to click the "s</w:t>
      </w:r>
      <w:r w:rsidRPr="005576B1">
        <w:rPr>
          <w:rFonts w:eastAsia="Times New Roman"/>
        </w:rPr>
        <w:t>tart free trial" button divided by number of unique cookies t</w:t>
      </w:r>
      <w:r w:rsidR="00050E12">
        <w:rPr>
          <w:rFonts w:eastAsia="Times New Roman"/>
        </w:rPr>
        <w:t>o view the course overview page</w:t>
      </w:r>
    </w:p>
    <w:p w:rsidR="000D0DCB" w:rsidRDefault="00CD5F71" w:rsidP="00AC7531">
      <w:pPr>
        <w:numPr>
          <w:ilvl w:val="0"/>
          <w:numId w:val="1"/>
        </w:numPr>
        <w:spacing w:after="240" w:line="360" w:lineRule="auto"/>
      </w:pPr>
      <w:r>
        <w:rPr>
          <w:rFonts w:eastAsia="Times New Roman"/>
        </w:rPr>
        <w:t>Because neither the probability of a unique cookie clicking on the “</w:t>
      </w:r>
      <w:r w:rsidR="00050E12">
        <w:rPr>
          <w:rFonts w:eastAsia="Times New Roman"/>
        </w:rPr>
        <w:t>s</w:t>
      </w:r>
      <w:r>
        <w:rPr>
          <w:rFonts w:eastAsia="Times New Roman"/>
        </w:rPr>
        <w:t xml:space="preserve">tart free trial” </w:t>
      </w:r>
      <w:r w:rsidR="00050E12">
        <w:rPr>
          <w:rFonts w:eastAsia="Times New Roman"/>
        </w:rPr>
        <w:t xml:space="preserve">button </w:t>
      </w:r>
      <w:r>
        <w:rPr>
          <w:rFonts w:eastAsia="Times New Roman"/>
        </w:rPr>
        <w:t xml:space="preserve">or the number of unique cookies visiting the course overview page should be affected by the change, the click-through-probability should be consistent across experiment and control groups and </w:t>
      </w:r>
      <w:r w:rsidR="000D0DCB">
        <w:rPr>
          <w:rFonts w:eastAsia="Times New Roman"/>
        </w:rPr>
        <w:t>can be used as an invariant metric.</w:t>
      </w:r>
    </w:p>
    <w:p w:rsidR="000A3BC3" w:rsidRDefault="005576B1" w:rsidP="00AC7531">
      <w:pPr>
        <w:spacing w:after="240" w:line="360" w:lineRule="auto"/>
      </w:pPr>
      <w:r w:rsidRPr="005576B1">
        <w:rPr>
          <w:b/>
        </w:rPr>
        <w:t>Evaluation metrics:</w:t>
      </w:r>
      <w:r>
        <w:t xml:space="preserve"> gross conversion, retention, net conversion</w:t>
      </w:r>
    </w:p>
    <w:p w:rsidR="000A3BC3" w:rsidRDefault="000A3BC3" w:rsidP="00AC7531">
      <w:pPr>
        <w:spacing w:after="240" w:line="360" w:lineRule="auto"/>
      </w:pPr>
      <w:r>
        <w:t>Evaluation metrics are expected to change throughout the experiment and indicate different responses to the change being tested between the control and experiment groups.</w:t>
      </w:r>
    </w:p>
    <w:p w:rsidR="005576B1" w:rsidRDefault="005576B1" w:rsidP="00AC7531">
      <w:pPr>
        <w:spacing w:after="240" w:line="360" w:lineRule="auto"/>
        <w:rPr>
          <w:rFonts w:eastAsia="Times New Roman"/>
        </w:rPr>
      </w:pPr>
      <w:r w:rsidRPr="00050E12">
        <w:rPr>
          <w:rFonts w:eastAsia="Times New Roman"/>
          <w:bCs/>
          <w:i/>
        </w:rPr>
        <w:t>Gross conversion</w:t>
      </w:r>
      <w:r w:rsidRPr="005576B1">
        <w:rPr>
          <w:rFonts w:eastAsia="Times New Roman"/>
          <w:b/>
          <w:bCs/>
        </w:rPr>
        <w:t>: </w:t>
      </w:r>
      <w:r w:rsidRPr="005576B1">
        <w:rPr>
          <w:rFonts w:eastAsia="Times New Roman"/>
        </w:rPr>
        <w:t>Th</w:t>
      </w:r>
      <w:r>
        <w:rPr>
          <w:rFonts w:eastAsia="Times New Roman"/>
        </w:rPr>
        <w:t xml:space="preserve">e </w:t>
      </w:r>
      <w:r w:rsidRPr="005576B1">
        <w:rPr>
          <w:rFonts w:eastAsia="Times New Roman"/>
        </w:rPr>
        <w:t>number of user-ids to complete checkout and enroll in the free trial divided by number of unique cookies to click the "</w:t>
      </w:r>
      <w:r w:rsidR="00050E12">
        <w:rPr>
          <w:rFonts w:eastAsia="Times New Roman"/>
        </w:rPr>
        <w:t>start free trial" button</w:t>
      </w:r>
    </w:p>
    <w:p w:rsidR="000D0DCB" w:rsidRPr="005576B1" w:rsidRDefault="000A3BC3" w:rsidP="00AC7531">
      <w:pPr>
        <w:numPr>
          <w:ilvl w:val="0"/>
          <w:numId w:val="1"/>
        </w:numPr>
        <w:spacing w:after="240" w:line="360" w:lineRule="auto"/>
        <w:rPr>
          <w:rFonts w:eastAsia="Times New Roman"/>
        </w:rPr>
      </w:pPr>
      <w:r>
        <w:rPr>
          <w:rFonts w:eastAsia="Times New Roman"/>
        </w:rPr>
        <w:lastRenderedPageBreak/>
        <w:t>If the screener effectively screens out</w:t>
      </w:r>
      <w:r w:rsidR="00050E12">
        <w:rPr>
          <w:rFonts w:eastAsia="Times New Roman"/>
        </w:rPr>
        <w:t xml:space="preserve"> or discourages</w:t>
      </w:r>
      <w:r>
        <w:rPr>
          <w:rFonts w:eastAsia="Times New Roman"/>
        </w:rPr>
        <w:t xml:space="preserve"> students who are unlikely to complete the course, the gross conversion rate is expected to decrease </w:t>
      </w:r>
      <w:r w:rsidR="00050E12">
        <w:rPr>
          <w:rFonts w:eastAsia="Times New Roman"/>
        </w:rPr>
        <w:t>for</w:t>
      </w:r>
      <w:r>
        <w:rPr>
          <w:rFonts w:eastAsia="Times New Roman"/>
        </w:rPr>
        <w:t xml:space="preserve"> the experiment group. Users who click the “</w:t>
      </w:r>
      <w:r w:rsidR="00050E12">
        <w:rPr>
          <w:rFonts w:eastAsia="Times New Roman"/>
        </w:rPr>
        <w:t>s</w:t>
      </w:r>
      <w:r>
        <w:rPr>
          <w:rFonts w:eastAsia="Times New Roman"/>
        </w:rPr>
        <w:t>tart free trial” button and are prompted about the weekly time commitment may hesitate to complete checkout and enroll if they are certain they cannot commit at least 5 hours/week to the course.</w:t>
      </w:r>
    </w:p>
    <w:p w:rsidR="005576B1" w:rsidRDefault="005576B1" w:rsidP="00AC7531">
      <w:pPr>
        <w:spacing w:after="240" w:line="360" w:lineRule="auto"/>
        <w:rPr>
          <w:rFonts w:eastAsia="Times New Roman"/>
        </w:rPr>
      </w:pPr>
      <w:r w:rsidRPr="00050E12">
        <w:rPr>
          <w:rFonts w:eastAsia="Times New Roman"/>
          <w:bCs/>
          <w:i/>
        </w:rPr>
        <w:t>Retention</w:t>
      </w:r>
      <w:r w:rsidRPr="005576B1">
        <w:rPr>
          <w:rFonts w:eastAsia="Times New Roman"/>
          <w:b/>
          <w:bCs/>
        </w:rPr>
        <w:t>: </w:t>
      </w:r>
      <w:r w:rsidRPr="005576B1">
        <w:rPr>
          <w:rFonts w:eastAsia="Times New Roman"/>
        </w:rPr>
        <w:t>Th</w:t>
      </w:r>
      <w:r>
        <w:rPr>
          <w:rFonts w:eastAsia="Times New Roman"/>
        </w:rPr>
        <w:t xml:space="preserve">e </w:t>
      </w:r>
      <w:r w:rsidRPr="005576B1">
        <w:rPr>
          <w:rFonts w:eastAsia="Times New Roman"/>
        </w:rPr>
        <w:t>number of user-ids to remain enrolled past the 14-day boundary (and thus make at least one payment) divided by number o</w:t>
      </w:r>
      <w:r w:rsidR="00050E12">
        <w:rPr>
          <w:rFonts w:eastAsia="Times New Roman"/>
        </w:rPr>
        <w:t>f user-ids to complete checkout</w:t>
      </w:r>
    </w:p>
    <w:p w:rsidR="00601C98" w:rsidRPr="005576B1" w:rsidRDefault="00601C98" w:rsidP="00AC7531">
      <w:pPr>
        <w:numPr>
          <w:ilvl w:val="0"/>
          <w:numId w:val="1"/>
        </w:numPr>
        <w:spacing w:after="240" w:line="360" w:lineRule="auto"/>
        <w:rPr>
          <w:rFonts w:eastAsia="Times New Roman"/>
        </w:rPr>
      </w:pPr>
      <w:r>
        <w:rPr>
          <w:rFonts w:eastAsia="Times New Roman"/>
          <w:bCs/>
        </w:rPr>
        <w:t xml:space="preserve">If the screener effectively screens out </w:t>
      </w:r>
      <w:r w:rsidR="00050E12">
        <w:rPr>
          <w:rFonts w:eastAsia="Times New Roman"/>
          <w:bCs/>
        </w:rPr>
        <w:t xml:space="preserve">or discourages </w:t>
      </w:r>
      <w:r>
        <w:rPr>
          <w:rFonts w:eastAsia="Times New Roman"/>
          <w:bCs/>
        </w:rPr>
        <w:t>students who are unlikely to complete the course, the retention rate is expected to increase</w:t>
      </w:r>
      <w:r w:rsidR="00050E12">
        <w:rPr>
          <w:rFonts w:eastAsia="Times New Roman"/>
          <w:bCs/>
        </w:rPr>
        <w:t xml:space="preserve"> for the experiment group</w:t>
      </w:r>
      <w:r w:rsidR="0071383E">
        <w:rPr>
          <w:rFonts w:eastAsia="Times New Roman"/>
          <w:bCs/>
        </w:rPr>
        <w:t xml:space="preserve"> – t</w:t>
      </w:r>
      <w:r>
        <w:rPr>
          <w:rFonts w:eastAsia="Times New Roman"/>
          <w:bCs/>
        </w:rPr>
        <w:t>he students who completed checkout are more likely to commit to completing the course and remain enrolled past the free trial period and make monthly payments.</w:t>
      </w:r>
    </w:p>
    <w:p w:rsidR="001F13AD" w:rsidRDefault="005576B1" w:rsidP="00AC7531">
      <w:pPr>
        <w:spacing w:after="240" w:line="360" w:lineRule="auto"/>
        <w:rPr>
          <w:rFonts w:eastAsia="Times New Roman"/>
        </w:rPr>
      </w:pPr>
      <w:r w:rsidRPr="00050E12">
        <w:rPr>
          <w:rFonts w:eastAsia="Times New Roman"/>
          <w:bCs/>
          <w:i/>
        </w:rPr>
        <w:t>Net conversion</w:t>
      </w:r>
      <w:r w:rsidRPr="005576B1">
        <w:rPr>
          <w:rFonts w:eastAsia="Times New Roman"/>
          <w:b/>
          <w:bCs/>
        </w:rPr>
        <w:t>: </w:t>
      </w:r>
      <w:r w:rsidRPr="005576B1">
        <w:rPr>
          <w:rFonts w:eastAsia="Times New Roman"/>
        </w:rPr>
        <w:t>Th</w:t>
      </w:r>
      <w:r>
        <w:rPr>
          <w:rFonts w:eastAsia="Times New Roman"/>
        </w:rPr>
        <w:t xml:space="preserve">e </w:t>
      </w:r>
      <w:r w:rsidRPr="005576B1">
        <w:rPr>
          <w:rFonts w:eastAsia="Times New Roman"/>
        </w:rPr>
        <w:t>number of user-ids to remain enrolled past the 14-day boundary (and thus make at least one payment) divided by the number o</w:t>
      </w:r>
      <w:r w:rsidR="00141141">
        <w:rPr>
          <w:rFonts w:eastAsia="Times New Roman"/>
        </w:rPr>
        <w:t>f unique cookies to click the "start free trial" button</w:t>
      </w:r>
    </w:p>
    <w:p w:rsidR="001F13AD" w:rsidRPr="006B7585" w:rsidRDefault="001F13AD" w:rsidP="00400F75">
      <w:pPr>
        <w:numPr>
          <w:ilvl w:val="0"/>
          <w:numId w:val="1"/>
        </w:numPr>
        <w:spacing w:after="240" w:line="360" w:lineRule="auto"/>
        <w:rPr>
          <w:rFonts w:eastAsia="Times New Roman"/>
        </w:rPr>
      </w:pPr>
      <w:r w:rsidRPr="006B7585">
        <w:rPr>
          <w:rFonts w:eastAsia="Times New Roman"/>
          <w:bCs/>
        </w:rPr>
        <w:t xml:space="preserve">If the screener effectively screens out </w:t>
      </w:r>
      <w:r w:rsidR="006B7585" w:rsidRPr="006B7585">
        <w:rPr>
          <w:rFonts w:eastAsia="Times New Roman"/>
          <w:bCs/>
        </w:rPr>
        <w:t xml:space="preserve">or discourages </w:t>
      </w:r>
      <w:r w:rsidRPr="006B7585">
        <w:rPr>
          <w:rFonts w:eastAsia="Times New Roman"/>
          <w:bCs/>
        </w:rPr>
        <w:t xml:space="preserve">students who are unlikely to complete the course, the net conversion rate is expected to </w:t>
      </w:r>
      <w:r w:rsidR="00D0530F">
        <w:rPr>
          <w:rFonts w:eastAsia="Times New Roman"/>
          <w:bCs/>
        </w:rPr>
        <w:t>increase</w:t>
      </w:r>
      <w:r w:rsidR="006B7585" w:rsidRPr="006B7585">
        <w:rPr>
          <w:rFonts w:eastAsia="Times New Roman"/>
          <w:bCs/>
        </w:rPr>
        <w:t xml:space="preserve"> for the experiment group</w:t>
      </w:r>
      <w:r w:rsidR="006D4392">
        <w:rPr>
          <w:rFonts w:eastAsia="Times New Roman"/>
          <w:bCs/>
        </w:rPr>
        <w:t xml:space="preserve"> </w:t>
      </w:r>
      <w:r w:rsidR="0071383E">
        <w:rPr>
          <w:rFonts w:eastAsia="Times New Roman"/>
          <w:bCs/>
        </w:rPr>
        <w:t>–</w:t>
      </w:r>
      <w:r w:rsidR="006D4392">
        <w:rPr>
          <w:rFonts w:eastAsia="Times New Roman"/>
          <w:bCs/>
        </w:rPr>
        <w:t xml:space="preserve"> </w:t>
      </w:r>
      <w:r w:rsidR="00D0530F">
        <w:rPr>
          <w:rFonts w:eastAsia="Times New Roman"/>
          <w:bCs/>
        </w:rPr>
        <w:t>the users who still choose to enroll after submitting their weekly time commitment to the screener should be dedicated students who are more likely to continue past the free trial period and complete the course.</w:t>
      </w:r>
    </w:p>
    <w:p w:rsidR="005576B1" w:rsidRDefault="00424A0B" w:rsidP="00AC7531">
      <w:pPr>
        <w:spacing w:after="240" w:line="360" w:lineRule="auto"/>
        <w:rPr>
          <w:rFonts w:eastAsia="Times New Roman"/>
        </w:rPr>
      </w:pPr>
      <w:r>
        <w:rPr>
          <w:rFonts w:eastAsia="Times New Roman"/>
          <w:bCs/>
        </w:rPr>
        <w:t>The final metric, number of user-ids (</w:t>
      </w:r>
      <w:r w:rsidR="005576B1" w:rsidRPr="005576B1">
        <w:rPr>
          <w:rFonts w:eastAsia="Times New Roman"/>
        </w:rPr>
        <w:t>number of use</w:t>
      </w:r>
      <w:r w:rsidR="007B1719">
        <w:rPr>
          <w:rFonts w:eastAsia="Times New Roman"/>
        </w:rPr>
        <w:t>rs who enroll in the free trial), was not selected as an invariant metric or evaluation metric.</w:t>
      </w:r>
      <w:r w:rsidR="00A46ED0">
        <w:rPr>
          <w:rFonts w:eastAsia="Times New Roman"/>
        </w:rPr>
        <w:t xml:space="preserve"> Because this metric would not be distributed evenly between control and experiment groups, it cannot be used as an invariant metric. </w:t>
      </w:r>
      <w:r w:rsidR="00C00C2F">
        <w:rPr>
          <w:rFonts w:eastAsia="Times New Roman"/>
        </w:rPr>
        <w:t>Because the number of user-ids is a total count that is not normalized and because it is already incorporated into the gross conversion, retention, and net conversion ratios, it was not selected as an evaluation metric.</w:t>
      </w:r>
    </w:p>
    <w:p w:rsidR="008A0375" w:rsidRPr="005576B1" w:rsidRDefault="008A0375" w:rsidP="00AC7531">
      <w:pPr>
        <w:spacing w:after="240" w:line="360" w:lineRule="auto"/>
        <w:rPr>
          <w:rFonts w:eastAsia="Times New Roman"/>
        </w:rPr>
      </w:pPr>
      <w:r>
        <w:t xml:space="preserve">The final launch criteria for the screener is that all evaluation metrics show statistically significant results, indicating that the screener is indeed achieving the experiment’s goals. In other words, the results of the experiment must show a significant decrease in gross conversion (students who are not prepared to make the time commitment to complete the course will not </w:t>
      </w:r>
      <w:r>
        <w:lastRenderedPageBreak/>
        <w:t>enroll) and a significant increase in net conversion (the students who do enroll will remain enrolled past the free trial period).</w:t>
      </w:r>
    </w:p>
    <w:p w:rsidR="00051F47" w:rsidRPr="004172C4" w:rsidRDefault="009C4DCE" w:rsidP="002E64A8">
      <w:pPr>
        <w:pStyle w:val="Heading2"/>
        <w:spacing w:after="240" w:line="360" w:lineRule="auto"/>
        <w:contextualSpacing w:val="0"/>
        <w:rPr>
          <w:sz w:val="28"/>
        </w:rPr>
      </w:pPr>
      <w:bookmarkStart w:id="3" w:name="h.ex7wuw87um13" w:colFirst="0" w:colLast="0"/>
      <w:bookmarkEnd w:id="3"/>
      <w:r w:rsidRPr="004172C4">
        <w:rPr>
          <w:sz w:val="28"/>
        </w:rPr>
        <w:t>Measuring Standard Deviation</w:t>
      </w:r>
    </w:p>
    <w:p w:rsidR="00051F47" w:rsidRDefault="00C04C14" w:rsidP="002E64A8">
      <w:pPr>
        <w:spacing w:after="240" w:line="360" w:lineRule="auto"/>
      </w:pPr>
      <w:r>
        <w:t>Given a sample size of 5,000 cookies visiting the course overview page:</w:t>
      </w:r>
      <w:r>
        <w:br/>
        <w:t>a</w:t>
      </w:r>
      <w:r w:rsidR="002E64A8" w:rsidRPr="002E64A8">
        <w:t xml:space="preserve">nalytic estimate of standard deviation, </w:t>
      </w:r>
      <w:r w:rsidR="005576B1" w:rsidRPr="002E64A8">
        <w:t>σ</w:t>
      </w:r>
      <w:r w:rsidR="005576B1">
        <w:t xml:space="preserve"> = </w:t>
      </w:r>
      <m:oMath>
        <m:rad>
          <m:radPr>
            <m:degHide m:val="1"/>
            <m:ctrlPr>
              <w:rPr>
                <w:rFonts w:ascii="Cambria Math" w:hAnsi="Cambria Math"/>
              </w:rPr>
            </m:ctrlPr>
          </m:radPr>
          <m:deg/>
          <m:e>
            <m:f>
              <m:fPr>
                <m:ctrlPr>
                  <w:rPr>
                    <w:rFonts w:ascii="Cambria Math" w:hAnsi="Cambria Math"/>
                  </w:rPr>
                </m:ctrlPr>
              </m:fPr>
              <m:num>
                <m:r>
                  <w:rPr>
                    <w:rFonts w:ascii="Cambria Math" w:hAnsi="Cambria Math"/>
                  </w:rPr>
                  <m:t>p</m:t>
                </m:r>
                <m:r>
                  <m:rPr>
                    <m:sty m:val="p"/>
                  </m:rPr>
                  <w:rPr>
                    <w:rFonts w:ascii="Cambria Math" w:hAnsi="Cambria Math"/>
                  </w:rPr>
                  <m:t xml:space="preserve"> (1-</m:t>
                </m:r>
                <m:r>
                  <w:rPr>
                    <w:rFonts w:ascii="Cambria Math" w:hAnsi="Cambria Math"/>
                  </w:rPr>
                  <m:t>p</m:t>
                </m:r>
                <m:r>
                  <m:rPr>
                    <m:sty m:val="p"/>
                  </m:rPr>
                  <w:rPr>
                    <w:rFonts w:ascii="Cambria Math" w:hAnsi="Cambria Math"/>
                  </w:rPr>
                  <m:t>)</m:t>
                </m:r>
              </m:num>
              <m:den>
                <m:r>
                  <w:rPr>
                    <w:rFonts w:ascii="Cambria Math" w:hAnsi="Cambria Math"/>
                  </w:rPr>
                  <m:t>N</m:t>
                </m:r>
              </m:den>
            </m:f>
          </m:e>
        </m:rad>
      </m:oMath>
    </w:p>
    <w:p w:rsidR="005576B1" w:rsidRDefault="005576B1" w:rsidP="002E64A8">
      <w:pPr>
        <w:spacing w:after="240" w:line="360" w:lineRule="auto"/>
      </w:pPr>
    </w:p>
    <w:tbl>
      <w:tblPr>
        <w:tblStyle w:val="TableGrid"/>
        <w:tblW w:w="0" w:type="auto"/>
        <w:jc w:val="center"/>
        <w:tblLayout w:type="fixed"/>
        <w:tblLook w:val="04A0" w:firstRow="1" w:lastRow="0" w:firstColumn="1" w:lastColumn="0" w:noHBand="0" w:noVBand="1"/>
      </w:tblPr>
      <w:tblGrid>
        <w:gridCol w:w="2520"/>
        <w:gridCol w:w="2175"/>
        <w:gridCol w:w="1800"/>
        <w:gridCol w:w="2145"/>
      </w:tblGrid>
      <w:tr w:rsidR="0068243E" w:rsidRPr="005576B1" w:rsidTr="002E64A8">
        <w:trPr>
          <w:trHeight w:val="443"/>
          <w:jc w:val="center"/>
        </w:trPr>
        <w:tc>
          <w:tcPr>
            <w:tcW w:w="2520" w:type="dxa"/>
            <w:noWrap/>
            <w:vAlign w:val="center"/>
            <w:hideMark/>
          </w:tcPr>
          <w:p w:rsidR="005576B1" w:rsidRPr="005576B1" w:rsidRDefault="005576B1" w:rsidP="002E64A8">
            <w:pPr>
              <w:spacing w:line="360" w:lineRule="auto"/>
            </w:pPr>
            <w:r w:rsidRPr="005576B1">
              <w:t> </w:t>
            </w:r>
          </w:p>
        </w:tc>
        <w:tc>
          <w:tcPr>
            <w:tcW w:w="2175" w:type="dxa"/>
            <w:noWrap/>
            <w:vAlign w:val="center"/>
            <w:hideMark/>
          </w:tcPr>
          <w:p w:rsidR="005576B1" w:rsidRPr="0068243E" w:rsidRDefault="005576B1" w:rsidP="002E64A8">
            <w:pPr>
              <w:spacing w:line="360" w:lineRule="auto"/>
              <w:jc w:val="center"/>
              <w:rPr>
                <w:b/>
              </w:rPr>
            </w:pPr>
            <w:r w:rsidRPr="0068243E">
              <w:rPr>
                <w:b/>
              </w:rPr>
              <w:t>Gross conversion</w:t>
            </w:r>
          </w:p>
        </w:tc>
        <w:tc>
          <w:tcPr>
            <w:tcW w:w="1800" w:type="dxa"/>
            <w:noWrap/>
            <w:vAlign w:val="center"/>
            <w:hideMark/>
          </w:tcPr>
          <w:p w:rsidR="005576B1" w:rsidRPr="0068243E" w:rsidRDefault="005576B1" w:rsidP="002E64A8">
            <w:pPr>
              <w:spacing w:line="360" w:lineRule="auto"/>
              <w:jc w:val="center"/>
              <w:rPr>
                <w:b/>
              </w:rPr>
            </w:pPr>
            <w:r w:rsidRPr="0068243E">
              <w:rPr>
                <w:b/>
              </w:rPr>
              <w:t>Retention</w:t>
            </w:r>
          </w:p>
        </w:tc>
        <w:tc>
          <w:tcPr>
            <w:tcW w:w="2145" w:type="dxa"/>
            <w:noWrap/>
            <w:vAlign w:val="center"/>
            <w:hideMark/>
          </w:tcPr>
          <w:p w:rsidR="005576B1" w:rsidRPr="0068243E" w:rsidRDefault="005576B1" w:rsidP="002E64A8">
            <w:pPr>
              <w:spacing w:line="360" w:lineRule="auto"/>
              <w:jc w:val="center"/>
              <w:rPr>
                <w:b/>
              </w:rPr>
            </w:pPr>
            <w:r w:rsidRPr="0068243E">
              <w:rPr>
                <w:b/>
              </w:rPr>
              <w:t>Net conversion</w:t>
            </w:r>
          </w:p>
        </w:tc>
      </w:tr>
      <w:tr w:rsidR="0068243E" w:rsidRPr="005576B1" w:rsidTr="002E64A8">
        <w:trPr>
          <w:trHeight w:val="443"/>
          <w:jc w:val="center"/>
        </w:trPr>
        <w:tc>
          <w:tcPr>
            <w:tcW w:w="2520" w:type="dxa"/>
            <w:noWrap/>
            <w:vAlign w:val="center"/>
            <w:hideMark/>
          </w:tcPr>
          <w:p w:rsidR="005576B1" w:rsidRPr="0068243E" w:rsidRDefault="005576B1" w:rsidP="002E64A8">
            <w:pPr>
              <w:spacing w:line="360" w:lineRule="auto"/>
              <w:rPr>
                <w:i/>
              </w:rPr>
            </w:pPr>
            <w:r w:rsidRPr="0068243E">
              <w:rPr>
                <w:i/>
              </w:rPr>
              <w:t>probability, p</w:t>
            </w:r>
          </w:p>
        </w:tc>
        <w:tc>
          <w:tcPr>
            <w:tcW w:w="2175" w:type="dxa"/>
            <w:noWrap/>
            <w:vAlign w:val="center"/>
            <w:hideMark/>
          </w:tcPr>
          <w:p w:rsidR="005576B1" w:rsidRPr="005576B1" w:rsidRDefault="005576B1" w:rsidP="002E64A8">
            <w:pPr>
              <w:spacing w:line="360" w:lineRule="auto"/>
              <w:jc w:val="center"/>
            </w:pPr>
            <w:r w:rsidRPr="005576B1">
              <w:t>0.2063</w:t>
            </w:r>
          </w:p>
        </w:tc>
        <w:tc>
          <w:tcPr>
            <w:tcW w:w="1800" w:type="dxa"/>
            <w:noWrap/>
            <w:vAlign w:val="center"/>
            <w:hideMark/>
          </w:tcPr>
          <w:p w:rsidR="005576B1" w:rsidRPr="005576B1" w:rsidRDefault="005576B1" w:rsidP="002E64A8">
            <w:pPr>
              <w:spacing w:line="360" w:lineRule="auto"/>
              <w:jc w:val="center"/>
            </w:pPr>
            <w:r w:rsidRPr="005576B1">
              <w:t>0.5300</w:t>
            </w:r>
          </w:p>
        </w:tc>
        <w:tc>
          <w:tcPr>
            <w:tcW w:w="2145" w:type="dxa"/>
            <w:noWrap/>
            <w:vAlign w:val="center"/>
            <w:hideMark/>
          </w:tcPr>
          <w:p w:rsidR="005576B1" w:rsidRPr="005576B1" w:rsidRDefault="005576B1" w:rsidP="002E64A8">
            <w:pPr>
              <w:spacing w:line="360" w:lineRule="auto"/>
              <w:jc w:val="center"/>
            </w:pPr>
            <w:r w:rsidRPr="005576B1">
              <w:t>0.1093</w:t>
            </w:r>
          </w:p>
        </w:tc>
      </w:tr>
      <w:tr w:rsidR="0068243E" w:rsidRPr="005576B1" w:rsidTr="002E64A8">
        <w:trPr>
          <w:trHeight w:val="443"/>
          <w:jc w:val="center"/>
        </w:trPr>
        <w:tc>
          <w:tcPr>
            <w:tcW w:w="2520" w:type="dxa"/>
            <w:noWrap/>
            <w:vAlign w:val="center"/>
            <w:hideMark/>
          </w:tcPr>
          <w:p w:rsidR="005576B1" w:rsidRPr="0068243E" w:rsidRDefault="005576B1" w:rsidP="002E64A8">
            <w:pPr>
              <w:spacing w:line="360" w:lineRule="auto"/>
              <w:rPr>
                <w:i/>
              </w:rPr>
            </w:pPr>
            <w:r w:rsidRPr="0068243E">
              <w:rPr>
                <w:i/>
              </w:rPr>
              <w:t>scaled sample size, N</w:t>
            </w:r>
          </w:p>
        </w:tc>
        <w:tc>
          <w:tcPr>
            <w:tcW w:w="2175" w:type="dxa"/>
            <w:noWrap/>
            <w:vAlign w:val="center"/>
            <w:hideMark/>
          </w:tcPr>
          <w:p w:rsidR="005576B1" w:rsidRPr="005576B1" w:rsidRDefault="005576B1" w:rsidP="002E64A8">
            <w:pPr>
              <w:spacing w:line="360" w:lineRule="auto"/>
              <w:jc w:val="center"/>
            </w:pPr>
            <w:r w:rsidRPr="005576B1">
              <w:t>400</w:t>
            </w:r>
          </w:p>
        </w:tc>
        <w:tc>
          <w:tcPr>
            <w:tcW w:w="1800" w:type="dxa"/>
            <w:noWrap/>
            <w:vAlign w:val="center"/>
            <w:hideMark/>
          </w:tcPr>
          <w:p w:rsidR="005576B1" w:rsidRPr="005576B1" w:rsidRDefault="005576B1" w:rsidP="002E64A8">
            <w:pPr>
              <w:spacing w:line="360" w:lineRule="auto"/>
              <w:jc w:val="center"/>
            </w:pPr>
            <w:r w:rsidRPr="005576B1">
              <w:t>82.5</w:t>
            </w:r>
          </w:p>
        </w:tc>
        <w:tc>
          <w:tcPr>
            <w:tcW w:w="2145" w:type="dxa"/>
            <w:noWrap/>
            <w:vAlign w:val="center"/>
            <w:hideMark/>
          </w:tcPr>
          <w:p w:rsidR="005576B1" w:rsidRPr="005576B1" w:rsidRDefault="005576B1" w:rsidP="002E64A8">
            <w:pPr>
              <w:spacing w:line="360" w:lineRule="auto"/>
              <w:jc w:val="center"/>
            </w:pPr>
            <w:r w:rsidRPr="005576B1">
              <w:t>400</w:t>
            </w:r>
          </w:p>
        </w:tc>
      </w:tr>
      <w:tr w:rsidR="0068243E" w:rsidRPr="005576B1" w:rsidTr="002E64A8">
        <w:trPr>
          <w:trHeight w:val="443"/>
          <w:jc w:val="center"/>
        </w:trPr>
        <w:tc>
          <w:tcPr>
            <w:tcW w:w="2520" w:type="dxa"/>
            <w:noWrap/>
            <w:vAlign w:val="center"/>
            <w:hideMark/>
          </w:tcPr>
          <w:p w:rsidR="005576B1" w:rsidRPr="0068243E" w:rsidRDefault="005576B1" w:rsidP="002E64A8">
            <w:pPr>
              <w:spacing w:line="360" w:lineRule="auto"/>
              <w:rPr>
                <w:b/>
                <w:i/>
              </w:rPr>
            </w:pPr>
            <w:r w:rsidRPr="0068243E">
              <w:rPr>
                <w:b/>
                <w:i/>
              </w:rPr>
              <w:t>standard deviation, σ</w:t>
            </w:r>
          </w:p>
        </w:tc>
        <w:tc>
          <w:tcPr>
            <w:tcW w:w="2175" w:type="dxa"/>
            <w:noWrap/>
            <w:vAlign w:val="center"/>
            <w:hideMark/>
          </w:tcPr>
          <w:p w:rsidR="005576B1" w:rsidRPr="0068243E" w:rsidRDefault="005576B1" w:rsidP="002E64A8">
            <w:pPr>
              <w:spacing w:line="360" w:lineRule="auto"/>
              <w:jc w:val="center"/>
              <w:rPr>
                <w:b/>
              </w:rPr>
            </w:pPr>
            <w:r w:rsidRPr="0068243E">
              <w:rPr>
                <w:b/>
              </w:rPr>
              <w:t>0.0202</w:t>
            </w:r>
          </w:p>
        </w:tc>
        <w:tc>
          <w:tcPr>
            <w:tcW w:w="1800" w:type="dxa"/>
            <w:noWrap/>
            <w:vAlign w:val="center"/>
            <w:hideMark/>
          </w:tcPr>
          <w:p w:rsidR="005576B1" w:rsidRPr="0068243E" w:rsidRDefault="005576B1" w:rsidP="002E64A8">
            <w:pPr>
              <w:spacing w:line="360" w:lineRule="auto"/>
              <w:jc w:val="center"/>
              <w:rPr>
                <w:b/>
              </w:rPr>
            </w:pPr>
            <w:r w:rsidRPr="0068243E">
              <w:rPr>
                <w:b/>
              </w:rPr>
              <w:t>0.0549</w:t>
            </w:r>
          </w:p>
        </w:tc>
        <w:tc>
          <w:tcPr>
            <w:tcW w:w="2145" w:type="dxa"/>
            <w:noWrap/>
            <w:vAlign w:val="center"/>
            <w:hideMark/>
          </w:tcPr>
          <w:p w:rsidR="005576B1" w:rsidRPr="0068243E" w:rsidRDefault="005576B1" w:rsidP="002E64A8">
            <w:pPr>
              <w:spacing w:line="360" w:lineRule="auto"/>
              <w:jc w:val="center"/>
              <w:rPr>
                <w:b/>
              </w:rPr>
            </w:pPr>
            <w:r w:rsidRPr="0068243E">
              <w:rPr>
                <w:b/>
              </w:rPr>
              <w:t>0.0156</w:t>
            </w:r>
          </w:p>
        </w:tc>
      </w:tr>
    </w:tbl>
    <w:p w:rsidR="002E64A8" w:rsidRDefault="002E64A8" w:rsidP="002E64A8">
      <w:pPr>
        <w:spacing w:after="240" w:line="360" w:lineRule="auto"/>
      </w:pPr>
    </w:p>
    <w:p w:rsidR="005576B1" w:rsidRDefault="002E64A8" w:rsidP="002E64A8">
      <w:pPr>
        <w:spacing w:after="240" w:line="360" w:lineRule="auto"/>
      </w:pPr>
      <w:r>
        <w:t xml:space="preserve">An empirical estimate of the variability is needed if the unit of analysis differs greatly from the unit of diversion. </w:t>
      </w:r>
      <w:r w:rsidR="00C07F60">
        <w:t>Since the unit of diversion is a cookie and both gross conversion and net conversion have number of unique cookies that click “start free trial” as their units of analysis, the analytic and empirical estimates of variability for these metrics will be similar. In the case of retention, the unit of analysis is number of user-ids that complete checkout, so an empirical estimate of variability is likely needed if this metric is used in the final analysis.</w:t>
      </w:r>
    </w:p>
    <w:p w:rsidR="00051F47" w:rsidRPr="00AA3C0B" w:rsidRDefault="009C4DCE" w:rsidP="000B6D9D">
      <w:pPr>
        <w:pStyle w:val="Heading2"/>
        <w:spacing w:after="240" w:line="360" w:lineRule="auto"/>
        <w:contextualSpacing w:val="0"/>
        <w:rPr>
          <w:sz w:val="28"/>
        </w:rPr>
      </w:pPr>
      <w:bookmarkStart w:id="4" w:name="h.bx5ntddleyt7" w:colFirst="0" w:colLast="0"/>
      <w:bookmarkEnd w:id="4"/>
      <w:r w:rsidRPr="00AA3C0B">
        <w:rPr>
          <w:sz w:val="28"/>
        </w:rPr>
        <w:t>Sizing</w:t>
      </w:r>
    </w:p>
    <w:p w:rsidR="00051F47" w:rsidRDefault="009C4DCE" w:rsidP="000B6D9D">
      <w:pPr>
        <w:pStyle w:val="Heading3"/>
        <w:spacing w:after="240" w:line="360" w:lineRule="auto"/>
        <w:contextualSpacing w:val="0"/>
      </w:pPr>
      <w:bookmarkStart w:id="5" w:name="h.qlz9v8pljzt2" w:colFirst="0" w:colLast="0"/>
      <w:bookmarkEnd w:id="5"/>
      <w:r>
        <w:t>Number of Samples vs. Power</w:t>
      </w:r>
    </w:p>
    <w:p w:rsidR="0068243E" w:rsidRPr="00F87C54" w:rsidRDefault="00AA3C0B" w:rsidP="00F87C54">
      <w:pPr>
        <w:spacing w:after="240" w:line="360" w:lineRule="auto"/>
        <w:rPr>
          <w:color w:val="auto"/>
        </w:rPr>
      </w:pPr>
      <w:r w:rsidRPr="000B6D9D">
        <w:rPr>
          <w:color w:val="auto"/>
        </w:rPr>
        <w:t>The Bonferroni correction is a conservative method for controlling Type I errors</w:t>
      </w:r>
      <w:r w:rsidR="000B6D9D">
        <w:rPr>
          <w:color w:val="auto"/>
        </w:rPr>
        <w:t xml:space="preserve"> and can be useful for catching a false positive (statistically significant metric) when measuring multiple metrics</w:t>
      </w:r>
      <w:r w:rsidRPr="000B6D9D">
        <w:rPr>
          <w:color w:val="auto"/>
        </w:rPr>
        <w:t xml:space="preserve">. Since </w:t>
      </w:r>
      <w:r w:rsidR="000B6D9D" w:rsidRPr="000B6D9D">
        <w:rPr>
          <w:color w:val="auto"/>
        </w:rPr>
        <w:t>the</w:t>
      </w:r>
      <w:r w:rsidRPr="000B6D9D">
        <w:rPr>
          <w:color w:val="auto"/>
        </w:rPr>
        <w:t xml:space="preserve"> change </w:t>
      </w:r>
      <w:r w:rsidR="000B6D9D" w:rsidRPr="000B6D9D">
        <w:rPr>
          <w:color w:val="auto"/>
        </w:rPr>
        <w:t xml:space="preserve">being tested in this experiment </w:t>
      </w:r>
      <w:r w:rsidRPr="000B6D9D">
        <w:rPr>
          <w:color w:val="auto"/>
        </w:rPr>
        <w:t xml:space="preserve">will not likely be deployed unless all evaluation metrics show a statistically significant change, </w:t>
      </w:r>
      <w:r w:rsidR="000B6D9D" w:rsidRPr="000B6D9D">
        <w:rPr>
          <w:color w:val="auto"/>
        </w:rPr>
        <w:t xml:space="preserve">there is little need for the Bonferroni correction and it will not be applied to the following analysis. </w:t>
      </w:r>
    </w:p>
    <w:tbl>
      <w:tblPr>
        <w:tblStyle w:val="TableGrid"/>
        <w:tblW w:w="0" w:type="auto"/>
        <w:tblLayout w:type="fixed"/>
        <w:tblLook w:val="04A0" w:firstRow="1" w:lastRow="0" w:firstColumn="1" w:lastColumn="0" w:noHBand="0" w:noVBand="1"/>
      </w:tblPr>
      <w:tblGrid>
        <w:gridCol w:w="4855"/>
        <w:gridCol w:w="1620"/>
        <w:gridCol w:w="1350"/>
        <w:gridCol w:w="1525"/>
      </w:tblGrid>
      <w:tr w:rsidR="00164BD2" w:rsidRPr="0068243E" w:rsidTr="00164BD2">
        <w:trPr>
          <w:trHeight w:val="506"/>
        </w:trPr>
        <w:tc>
          <w:tcPr>
            <w:tcW w:w="4855" w:type="dxa"/>
            <w:vAlign w:val="center"/>
            <w:hideMark/>
          </w:tcPr>
          <w:p w:rsidR="0068243E" w:rsidRPr="0068243E" w:rsidRDefault="0068243E" w:rsidP="00164BD2"/>
        </w:tc>
        <w:tc>
          <w:tcPr>
            <w:tcW w:w="1620" w:type="dxa"/>
            <w:vAlign w:val="center"/>
            <w:hideMark/>
          </w:tcPr>
          <w:p w:rsidR="0068243E" w:rsidRPr="0068243E" w:rsidRDefault="00164BD2" w:rsidP="00164BD2">
            <w:pPr>
              <w:jc w:val="center"/>
              <w:rPr>
                <w:b/>
                <w:bCs/>
              </w:rPr>
            </w:pPr>
            <w:r>
              <w:rPr>
                <w:b/>
                <w:bCs/>
              </w:rPr>
              <w:t>Gross C</w:t>
            </w:r>
            <w:r w:rsidR="0068243E" w:rsidRPr="0068243E">
              <w:rPr>
                <w:b/>
                <w:bCs/>
              </w:rPr>
              <w:t>onversion</w:t>
            </w:r>
          </w:p>
        </w:tc>
        <w:tc>
          <w:tcPr>
            <w:tcW w:w="1350" w:type="dxa"/>
            <w:vAlign w:val="center"/>
            <w:hideMark/>
          </w:tcPr>
          <w:p w:rsidR="0068243E" w:rsidRPr="0068243E" w:rsidRDefault="0068243E" w:rsidP="00164BD2">
            <w:pPr>
              <w:jc w:val="center"/>
              <w:rPr>
                <w:b/>
                <w:bCs/>
              </w:rPr>
            </w:pPr>
            <w:r w:rsidRPr="0068243E">
              <w:rPr>
                <w:b/>
                <w:bCs/>
              </w:rPr>
              <w:t>Retention</w:t>
            </w:r>
          </w:p>
        </w:tc>
        <w:tc>
          <w:tcPr>
            <w:tcW w:w="1525" w:type="dxa"/>
            <w:noWrap/>
            <w:vAlign w:val="center"/>
            <w:hideMark/>
          </w:tcPr>
          <w:p w:rsidR="0068243E" w:rsidRPr="0068243E" w:rsidRDefault="00164BD2" w:rsidP="00164BD2">
            <w:pPr>
              <w:jc w:val="center"/>
              <w:rPr>
                <w:b/>
                <w:bCs/>
              </w:rPr>
            </w:pPr>
            <w:r>
              <w:rPr>
                <w:b/>
                <w:bCs/>
              </w:rPr>
              <w:t>Net C</w:t>
            </w:r>
            <w:r w:rsidR="0068243E" w:rsidRPr="0068243E">
              <w:rPr>
                <w:b/>
                <w:bCs/>
              </w:rPr>
              <w:t>onversion</w:t>
            </w:r>
          </w:p>
        </w:tc>
      </w:tr>
      <w:tr w:rsidR="00164BD2" w:rsidRPr="0068243E" w:rsidTr="00164BD2">
        <w:trPr>
          <w:trHeight w:val="506"/>
        </w:trPr>
        <w:tc>
          <w:tcPr>
            <w:tcW w:w="4855" w:type="dxa"/>
            <w:vAlign w:val="center"/>
            <w:hideMark/>
          </w:tcPr>
          <w:p w:rsidR="0068243E" w:rsidRPr="00164BD2" w:rsidRDefault="0068243E" w:rsidP="00164BD2">
            <w:pPr>
              <w:rPr>
                <w:i/>
              </w:rPr>
            </w:pPr>
            <w:r w:rsidRPr="00164BD2">
              <w:rPr>
                <w:i/>
              </w:rPr>
              <w:lastRenderedPageBreak/>
              <w:t>Baseline conversion rate</w:t>
            </w:r>
          </w:p>
        </w:tc>
        <w:tc>
          <w:tcPr>
            <w:tcW w:w="1620" w:type="dxa"/>
            <w:vAlign w:val="center"/>
            <w:hideMark/>
          </w:tcPr>
          <w:p w:rsidR="0068243E" w:rsidRPr="0068243E" w:rsidRDefault="00164BD2" w:rsidP="00164BD2">
            <w:pPr>
              <w:jc w:val="center"/>
            </w:pPr>
            <w:r>
              <w:t>0.2063</w:t>
            </w:r>
          </w:p>
        </w:tc>
        <w:tc>
          <w:tcPr>
            <w:tcW w:w="1350" w:type="dxa"/>
            <w:vAlign w:val="center"/>
            <w:hideMark/>
          </w:tcPr>
          <w:p w:rsidR="0068243E" w:rsidRPr="0068243E" w:rsidRDefault="0068243E" w:rsidP="00164BD2">
            <w:pPr>
              <w:jc w:val="center"/>
            </w:pPr>
            <w:r w:rsidRPr="0068243E">
              <w:t>0.53</w:t>
            </w:r>
            <w:r w:rsidR="00164BD2">
              <w:t>00</w:t>
            </w:r>
          </w:p>
        </w:tc>
        <w:tc>
          <w:tcPr>
            <w:tcW w:w="1525" w:type="dxa"/>
            <w:vAlign w:val="center"/>
            <w:hideMark/>
          </w:tcPr>
          <w:p w:rsidR="0068243E" w:rsidRPr="0068243E" w:rsidRDefault="00164BD2" w:rsidP="00164BD2">
            <w:pPr>
              <w:jc w:val="center"/>
            </w:pPr>
            <w:r>
              <w:t>0.1093</w:t>
            </w:r>
          </w:p>
        </w:tc>
      </w:tr>
      <w:tr w:rsidR="0068243E" w:rsidRPr="0068243E" w:rsidTr="00164BD2">
        <w:trPr>
          <w:trHeight w:val="506"/>
        </w:trPr>
        <w:tc>
          <w:tcPr>
            <w:tcW w:w="4855" w:type="dxa"/>
            <w:vAlign w:val="center"/>
            <w:hideMark/>
          </w:tcPr>
          <w:p w:rsidR="0068243E" w:rsidRPr="00164BD2" w:rsidRDefault="0068243E" w:rsidP="00164BD2">
            <w:pPr>
              <w:rPr>
                <w:i/>
              </w:rPr>
            </w:pPr>
            <w:r w:rsidRPr="00164BD2">
              <w:rPr>
                <w:i/>
              </w:rPr>
              <w:t xml:space="preserve">Minimum detectable effect, </w:t>
            </w:r>
            <w:proofErr w:type="spellStart"/>
            <w:r w:rsidRPr="00164BD2">
              <w:rPr>
                <w:i/>
              </w:rPr>
              <w:t>d</w:t>
            </w:r>
            <w:r w:rsidRPr="00164BD2">
              <w:rPr>
                <w:i/>
                <w:vertAlign w:val="subscript"/>
              </w:rPr>
              <w:t>min</w:t>
            </w:r>
            <w:proofErr w:type="spellEnd"/>
          </w:p>
        </w:tc>
        <w:tc>
          <w:tcPr>
            <w:tcW w:w="1620" w:type="dxa"/>
            <w:vAlign w:val="center"/>
            <w:hideMark/>
          </w:tcPr>
          <w:p w:rsidR="0068243E" w:rsidRPr="0068243E" w:rsidRDefault="0068243E" w:rsidP="00164BD2">
            <w:pPr>
              <w:jc w:val="center"/>
            </w:pPr>
            <w:r w:rsidRPr="0068243E">
              <w:t>0.01</w:t>
            </w:r>
          </w:p>
        </w:tc>
        <w:tc>
          <w:tcPr>
            <w:tcW w:w="1350" w:type="dxa"/>
            <w:noWrap/>
            <w:vAlign w:val="center"/>
            <w:hideMark/>
          </w:tcPr>
          <w:p w:rsidR="0068243E" w:rsidRPr="0068243E" w:rsidRDefault="0068243E" w:rsidP="00164BD2">
            <w:pPr>
              <w:jc w:val="center"/>
            </w:pPr>
            <w:r w:rsidRPr="0068243E">
              <w:t>0.01</w:t>
            </w:r>
          </w:p>
        </w:tc>
        <w:tc>
          <w:tcPr>
            <w:tcW w:w="1525" w:type="dxa"/>
            <w:noWrap/>
            <w:vAlign w:val="center"/>
            <w:hideMark/>
          </w:tcPr>
          <w:p w:rsidR="0068243E" w:rsidRPr="0068243E" w:rsidRDefault="0068243E" w:rsidP="00164BD2">
            <w:pPr>
              <w:jc w:val="center"/>
            </w:pPr>
            <w:r w:rsidRPr="0068243E">
              <w:t>0.0075</w:t>
            </w:r>
          </w:p>
        </w:tc>
      </w:tr>
      <w:tr w:rsidR="00164BD2" w:rsidRPr="0068243E" w:rsidTr="00164BD2">
        <w:trPr>
          <w:trHeight w:val="506"/>
        </w:trPr>
        <w:tc>
          <w:tcPr>
            <w:tcW w:w="4855" w:type="dxa"/>
            <w:vAlign w:val="center"/>
            <w:hideMark/>
          </w:tcPr>
          <w:p w:rsidR="0068243E" w:rsidRPr="00164BD2" w:rsidRDefault="0068243E" w:rsidP="00164BD2">
            <w:pPr>
              <w:rPr>
                <w:i/>
              </w:rPr>
            </w:pPr>
            <w:r w:rsidRPr="00164BD2">
              <w:rPr>
                <w:i/>
              </w:rPr>
              <w:t>Statistical power, 1-β</w:t>
            </w:r>
          </w:p>
        </w:tc>
        <w:tc>
          <w:tcPr>
            <w:tcW w:w="1620" w:type="dxa"/>
            <w:vAlign w:val="center"/>
            <w:hideMark/>
          </w:tcPr>
          <w:p w:rsidR="0068243E" w:rsidRPr="0068243E" w:rsidRDefault="0068243E" w:rsidP="00164BD2">
            <w:pPr>
              <w:jc w:val="center"/>
            </w:pPr>
            <w:r w:rsidRPr="0068243E">
              <w:t>0.8</w:t>
            </w:r>
          </w:p>
        </w:tc>
        <w:tc>
          <w:tcPr>
            <w:tcW w:w="1350" w:type="dxa"/>
            <w:vAlign w:val="center"/>
            <w:hideMark/>
          </w:tcPr>
          <w:p w:rsidR="0068243E" w:rsidRPr="0068243E" w:rsidRDefault="0068243E" w:rsidP="00164BD2">
            <w:pPr>
              <w:jc w:val="center"/>
            </w:pPr>
            <w:r w:rsidRPr="0068243E">
              <w:t>0.8</w:t>
            </w:r>
          </w:p>
        </w:tc>
        <w:tc>
          <w:tcPr>
            <w:tcW w:w="1525" w:type="dxa"/>
            <w:vAlign w:val="center"/>
            <w:hideMark/>
          </w:tcPr>
          <w:p w:rsidR="0068243E" w:rsidRPr="0068243E" w:rsidRDefault="0068243E" w:rsidP="00164BD2">
            <w:pPr>
              <w:jc w:val="center"/>
            </w:pPr>
            <w:r w:rsidRPr="0068243E">
              <w:t>0.8</w:t>
            </w:r>
          </w:p>
        </w:tc>
      </w:tr>
      <w:tr w:rsidR="00164BD2" w:rsidRPr="0068243E" w:rsidTr="00164BD2">
        <w:trPr>
          <w:trHeight w:val="506"/>
        </w:trPr>
        <w:tc>
          <w:tcPr>
            <w:tcW w:w="4855" w:type="dxa"/>
            <w:vAlign w:val="center"/>
            <w:hideMark/>
          </w:tcPr>
          <w:p w:rsidR="0068243E" w:rsidRPr="00164BD2" w:rsidRDefault="0068243E" w:rsidP="00164BD2">
            <w:pPr>
              <w:rPr>
                <w:i/>
              </w:rPr>
            </w:pPr>
            <w:r w:rsidRPr="00164BD2">
              <w:rPr>
                <w:i/>
              </w:rPr>
              <w:t>Significance level, α</w:t>
            </w:r>
          </w:p>
        </w:tc>
        <w:tc>
          <w:tcPr>
            <w:tcW w:w="1620" w:type="dxa"/>
            <w:vAlign w:val="center"/>
            <w:hideMark/>
          </w:tcPr>
          <w:p w:rsidR="0068243E" w:rsidRPr="0068243E" w:rsidRDefault="0068243E" w:rsidP="00164BD2">
            <w:pPr>
              <w:jc w:val="center"/>
            </w:pPr>
            <w:r w:rsidRPr="0068243E">
              <w:t>0.05</w:t>
            </w:r>
          </w:p>
        </w:tc>
        <w:tc>
          <w:tcPr>
            <w:tcW w:w="1350" w:type="dxa"/>
            <w:vAlign w:val="center"/>
            <w:hideMark/>
          </w:tcPr>
          <w:p w:rsidR="0068243E" w:rsidRPr="0068243E" w:rsidRDefault="0068243E" w:rsidP="00164BD2">
            <w:pPr>
              <w:jc w:val="center"/>
            </w:pPr>
            <w:r w:rsidRPr="0068243E">
              <w:t>0.05</w:t>
            </w:r>
          </w:p>
        </w:tc>
        <w:tc>
          <w:tcPr>
            <w:tcW w:w="1525" w:type="dxa"/>
            <w:vAlign w:val="center"/>
            <w:hideMark/>
          </w:tcPr>
          <w:p w:rsidR="0068243E" w:rsidRPr="0068243E" w:rsidRDefault="0068243E" w:rsidP="00164BD2">
            <w:pPr>
              <w:jc w:val="center"/>
            </w:pPr>
            <w:r w:rsidRPr="0068243E">
              <w:t>0.05</w:t>
            </w:r>
          </w:p>
        </w:tc>
      </w:tr>
      <w:tr w:rsidR="00164BD2" w:rsidRPr="0068243E" w:rsidTr="00164BD2">
        <w:trPr>
          <w:trHeight w:val="506"/>
        </w:trPr>
        <w:tc>
          <w:tcPr>
            <w:tcW w:w="4855" w:type="dxa"/>
            <w:vAlign w:val="center"/>
            <w:hideMark/>
          </w:tcPr>
          <w:p w:rsidR="0068243E" w:rsidRPr="00164BD2" w:rsidRDefault="00164BD2" w:rsidP="00164BD2">
            <w:pPr>
              <w:rPr>
                <w:i/>
              </w:rPr>
            </w:pPr>
            <w:r>
              <w:rPr>
                <w:i/>
              </w:rPr>
              <w:t>Sample size per group</w:t>
            </w:r>
          </w:p>
        </w:tc>
        <w:tc>
          <w:tcPr>
            <w:tcW w:w="1620" w:type="dxa"/>
            <w:vAlign w:val="center"/>
            <w:hideMark/>
          </w:tcPr>
          <w:p w:rsidR="0068243E" w:rsidRPr="0068243E" w:rsidRDefault="0068243E" w:rsidP="00164BD2">
            <w:pPr>
              <w:jc w:val="center"/>
            </w:pPr>
            <w:r w:rsidRPr="0068243E">
              <w:t>25</w:t>
            </w:r>
            <w:r w:rsidR="00164BD2">
              <w:t>,</w:t>
            </w:r>
            <w:r w:rsidRPr="0068243E">
              <w:t>835</w:t>
            </w:r>
          </w:p>
        </w:tc>
        <w:tc>
          <w:tcPr>
            <w:tcW w:w="1350" w:type="dxa"/>
            <w:vAlign w:val="center"/>
            <w:hideMark/>
          </w:tcPr>
          <w:p w:rsidR="0068243E" w:rsidRPr="0068243E" w:rsidRDefault="0068243E" w:rsidP="00164BD2">
            <w:pPr>
              <w:jc w:val="center"/>
            </w:pPr>
            <w:r w:rsidRPr="0068243E">
              <w:t>39</w:t>
            </w:r>
            <w:r w:rsidR="00164BD2">
              <w:t>,</w:t>
            </w:r>
            <w:r w:rsidRPr="0068243E">
              <w:t>115</w:t>
            </w:r>
          </w:p>
        </w:tc>
        <w:tc>
          <w:tcPr>
            <w:tcW w:w="1525" w:type="dxa"/>
            <w:vAlign w:val="center"/>
            <w:hideMark/>
          </w:tcPr>
          <w:p w:rsidR="0068243E" w:rsidRPr="0068243E" w:rsidRDefault="0068243E" w:rsidP="00164BD2">
            <w:pPr>
              <w:jc w:val="center"/>
            </w:pPr>
            <w:r w:rsidRPr="0068243E">
              <w:t>27</w:t>
            </w:r>
            <w:r w:rsidR="00164BD2">
              <w:t>,</w:t>
            </w:r>
            <w:r w:rsidRPr="0068243E">
              <w:t>413</w:t>
            </w:r>
          </w:p>
        </w:tc>
      </w:tr>
      <w:tr w:rsidR="00164BD2" w:rsidRPr="0068243E" w:rsidTr="00164BD2">
        <w:trPr>
          <w:trHeight w:val="506"/>
        </w:trPr>
        <w:tc>
          <w:tcPr>
            <w:tcW w:w="4855" w:type="dxa"/>
            <w:vAlign w:val="center"/>
            <w:hideMark/>
          </w:tcPr>
          <w:p w:rsidR="0068243E" w:rsidRPr="00164BD2" w:rsidRDefault="0068243E" w:rsidP="00164BD2">
            <w:pPr>
              <w:rPr>
                <w:i/>
              </w:rPr>
            </w:pPr>
            <w:r w:rsidRPr="00164BD2">
              <w:rPr>
                <w:i/>
              </w:rPr>
              <w:t>Tot</w:t>
            </w:r>
            <w:r w:rsidR="00164BD2">
              <w:rPr>
                <w:i/>
              </w:rPr>
              <w:t xml:space="preserve">al sample size (2 groups - control &amp; </w:t>
            </w:r>
            <w:proofErr w:type="spellStart"/>
            <w:r w:rsidR="00164BD2">
              <w:rPr>
                <w:i/>
              </w:rPr>
              <w:t>exp</w:t>
            </w:r>
            <w:proofErr w:type="spellEnd"/>
            <w:r w:rsidRPr="00164BD2">
              <w:rPr>
                <w:i/>
              </w:rPr>
              <w:t>)</w:t>
            </w:r>
          </w:p>
        </w:tc>
        <w:tc>
          <w:tcPr>
            <w:tcW w:w="1620" w:type="dxa"/>
            <w:vAlign w:val="center"/>
            <w:hideMark/>
          </w:tcPr>
          <w:p w:rsidR="0068243E" w:rsidRPr="0068243E" w:rsidRDefault="0068243E" w:rsidP="00164BD2">
            <w:pPr>
              <w:jc w:val="center"/>
            </w:pPr>
            <w:r w:rsidRPr="0068243E">
              <w:t>51</w:t>
            </w:r>
            <w:r w:rsidR="00164BD2">
              <w:t>,</w:t>
            </w:r>
            <w:r w:rsidRPr="0068243E">
              <w:t>670</w:t>
            </w:r>
          </w:p>
        </w:tc>
        <w:tc>
          <w:tcPr>
            <w:tcW w:w="1350" w:type="dxa"/>
            <w:vAlign w:val="center"/>
            <w:hideMark/>
          </w:tcPr>
          <w:p w:rsidR="0068243E" w:rsidRPr="0068243E" w:rsidRDefault="0068243E" w:rsidP="00164BD2">
            <w:pPr>
              <w:jc w:val="center"/>
            </w:pPr>
            <w:r w:rsidRPr="0068243E">
              <w:t>78</w:t>
            </w:r>
            <w:r w:rsidR="00164BD2">
              <w:t>,</w:t>
            </w:r>
            <w:r w:rsidRPr="0068243E">
              <w:t>230</w:t>
            </w:r>
          </w:p>
        </w:tc>
        <w:tc>
          <w:tcPr>
            <w:tcW w:w="1525" w:type="dxa"/>
            <w:vAlign w:val="center"/>
            <w:hideMark/>
          </w:tcPr>
          <w:p w:rsidR="0068243E" w:rsidRPr="0068243E" w:rsidRDefault="0068243E" w:rsidP="00164BD2">
            <w:pPr>
              <w:jc w:val="center"/>
            </w:pPr>
            <w:r w:rsidRPr="0068243E">
              <w:t>54</w:t>
            </w:r>
            <w:r w:rsidR="00164BD2">
              <w:t>,</w:t>
            </w:r>
            <w:r w:rsidRPr="0068243E">
              <w:t>826</w:t>
            </w:r>
          </w:p>
        </w:tc>
      </w:tr>
      <w:tr w:rsidR="00164BD2" w:rsidRPr="0068243E" w:rsidTr="00164BD2">
        <w:trPr>
          <w:trHeight w:val="506"/>
        </w:trPr>
        <w:tc>
          <w:tcPr>
            <w:tcW w:w="4855" w:type="dxa"/>
            <w:vAlign w:val="center"/>
            <w:hideMark/>
          </w:tcPr>
          <w:p w:rsidR="0068243E" w:rsidRPr="00164BD2" w:rsidRDefault="0068243E" w:rsidP="00164BD2">
            <w:pPr>
              <w:rPr>
                <w:i/>
              </w:rPr>
            </w:pPr>
            <w:r w:rsidRPr="00164BD2">
              <w:rPr>
                <w:i/>
              </w:rPr>
              <w:t xml:space="preserve">Unit of analysis (click or enrollment) / </w:t>
            </w:r>
            <w:proofErr w:type="spellStart"/>
            <w:r w:rsidRPr="00164BD2">
              <w:rPr>
                <w:i/>
              </w:rPr>
              <w:t>pageview</w:t>
            </w:r>
            <w:proofErr w:type="spellEnd"/>
          </w:p>
        </w:tc>
        <w:tc>
          <w:tcPr>
            <w:tcW w:w="1620" w:type="dxa"/>
            <w:vAlign w:val="center"/>
            <w:hideMark/>
          </w:tcPr>
          <w:p w:rsidR="0068243E" w:rsidRPr="0068243E" w:rsidRDefault="0068243E" w:rsidP="00164BD2">
            <w:pPr>
              <w:jc w:val="center"/>
            </w:pPr>
            <w:r w:rsidRPr="0068243E">
              <w:t>0.08</w:t>
            </w:r>
          </w:p>
        </w:tc>
        <w:tc>
          <w:tcPr>
            <w:tcW w:w="1350" w:type="dxa"/>
            <w:vAlign w:val="center"/>
            <w:hideMark/>
          </w:tcPr>
          <w:p w:rsidR="0068243E" w:rsidRPr="0068243E" w:rsidRDefault="0068243E" w:rsidP="00164BD2">
            <w:pPr>
              <w:jc w:val="center"/>
            </w:pPr>
            <w:r w:rsidRPr="0068243E">
              <w:t>0.0165</w:t>
            </w:r>
          </w:p>
        </w:tc>
        <w:tc>
          <w:tcPr>
            <w:tcW w:w="1525" w:type="dxa"/>
            <w:vAlign w:val="center"/>
            <w:hideMark/>
          </w:tcPr>
          <w:p w:rsidR="0068243E" w:rsidRPr="0068243E" w:rsidRDefault="0068243E" w:rsidP="00164BD2">
            <w:pPr>
              <w:jc w:val="center"/>
            </w:pPr>
            <w:r w:rsidRPr="0068243E">
              <w:t>0.08</w:t>
            </w:r>
          </w:p>
        </w:tc>
      </w:tr>
      <w:tr w:rsidR="00164BD2" w:rsidRPr="0068243E" w:rsidTr="00164BD2">
        <w:trPr>
          <w:trHeight w:val="506"/>
        </w:trPr>
        <w:tc>
          <w:tcPr>
            <w:tcW w:w="4855" w:type="dxa"/>
            <w:vAlign w:val="center"/>
            <w:hideMark/>
          </w:tcPr>
          <w:p w:rsidR="0068243E" w:rsidRPr="007C2500" w:rsidRDefault="00164BD2" w:rsidP="00164BD2">
            <w:pPr>
              <w:rPr>
                <w:b/>
                <w:i/>
              </w:rPr>
            </w:pPr>
            <w:r w:rsidRPr="007C2500">
              <w:rPr>
                <w:b/>
                <w:i/>
              </w:rPr>
              <w:t>Number of</w:t>
            </w:r>
            <w:r w:rsidR="0068243E" w:rsidRPr="007C2500">
              <w:rPr>
                <w:b/>
                <w:i/>
              </w:rPr>
              <w:t xml:space="preserve"> </w:t>
            </w:r>
            <w:proofErr w:type="spellStart"/>
            <w:r w:rsidR="0068243E" w:rsidRPr="007C2500">
              <w:rPr>
                <w:b/>
                <w:i/>
              </w:rPr>
              <w:t>pageviews</w:t>
            </w:r>
            <w:proofErr w:type="spellEnd"/>
            <w:r w:rsidR="0068243E" w:rsidRPr="007C2500">
              <w:rPr>
                <w:b/>
                <w:i/>
              </w:rPr>
              <w:t xml:space="preserve"> needed</w:t>
            </w:r>
          </w:p>
        </w:tc>
        <w:tc>
          <w:tcPr>
            <w:tcW w:w="1620" w:type="dxa"/>
            <w:vAlign w:val="center"/>
            <w:hideMark/>
          </w:tcPr>
          <w:p w:rsidR="0068243E" w:rsidRPr="007C2500" w:rsidRDefault="0068243E" w:rsidP="00164BD2">
            <w:pPr>
              <w:jc w:val="center"/>
              <w:rPr>
                <w:b/>
              </w:rPr>
            </w:pPr>
            <w:r w:rsidRPr="007C2500">
              <w:rPr>
                <w:b/>
              </w:rPr>
              <w:t>645</w:t>
            </w:r>
            <w:r w:rsidR="00164BD2" w:rsidRPr="007C2500">
              <w:rPr>
                <w:b/>
              </w:rPr>
              <w:t>,</w:t>
            </w:r>
            <w:r w:rsidRPr="007C2500">
              <w:rPr>
                <w:b/>
              </w:rPr>
              <w:t>875</w:t>
            </w:r>
          </w:p>
        </w:tc>
        <w:tc>
          <w:tcPr>
            <w:tcW w:w="1350" w:type="dxa"/>
            <w:vAlign w:val="center"/>
            <w:hideMark/>
          </w:tcPr>
          <w:p w:rsidR="0068243E" w:rsidRPr="007C2500" w:rsidRDefault="0068243E" w:rsidP="00164BD2">
            <w:pPr>
              <w:jc w:val="center"/>
              <w:rPr>
                <w:b/>
              </w:rPr>
            </w:pPr>
            <w:r w:rsidRPr="007C2500">
              <w:rPr>
                <w:b/>
              </w:rPr>
              <w:t>4</w:t>
            </w:r>
            <w:r w:rsidR="00164BD2" w:rsidRPr="007C2500">
              <w:rPr>
                <w:b/>
              </w:rPr>
              <w:t>,</w:t>
            </w:r>
            <w:r w:rsidRPr="007C2500">
              <w:rPr>
                <w:b/>
              </w:rPr>
              <w:t>741</w:t>
            </w:r>
            <w:r w:rsidR="00164BD2" w:rsidRPr="007C2500">
              <w:rPr>
                <w:b/>
              </w:rPr>
              <w:t>,</w:t>
            </w:r>
            <w:r w:rsidRPr="007C2500">
              <w:rPr>
                <w:b/>
              </w:rPr>
              <w:t>212</w:t>
            </w:r>
          </w:p>
        </w:tc>
        <w:tc>
          <w:tcPr>
            <w:tcW w:w="1525" w:type="dxa"/>
            <w:vAlign w:val="center"/>
            <w:hideMark/>
          </w:tcPr>
          <w:p w:rsidR="0068243E" w:rsidRPr="007C2500" w:rsidRDefault="0068243E" w:rsidP="00164BD2">
            <w:pPr>
              <w:jc w:val="center"/>
              <w:rPr>
                <w:b/>
              </w:rPr>
            </w:pPr>
            <w:r w:rsidRPr="007C2500">
              <w:rPr>
                <w:b/>
              </w:rPr>
              <w:t>685</w:t>
            </w:r>
            <w:r w:rsidR="00164BD2" w:rsidRPr="007C2500">
              <w:rPr>
                <w:b/>
              </w:rPr>
              <w:t>,</w:t>
            </w:r>
            <w:r w:rsidRPr="007C2500">
              <w:rPr>
                <w:b/>
              </w:rPr>
              <w:t>325</w:t>
            </w:r>
          </w:p>
        </w:tc>
      </w:tr>
    </w:tbl>
    <w:p w:rsidR="0068243E" w:rsidRDefault="0068243E"/>
    <w:p w:rsidR="00051F47" w:rsidRDefault="00AA3C0B" w:rsidP="000B6D9D">
      <w:pPr>
        <w:spacing w:after="240" w:line="360" w:lineRule="auto"/>
      </w:pPr>
      <w:r>
        <w:t xml:space="preserve">Total number of </w:t>
      </w:r>
      <w:proofErr w:type="spellStart"/>
      <w:r>
        <w:t>pageviews</w:t>
      </w:r>
      <w:proofErr w:type="spellEnd"/>
      <w:r>
        <w:t xml:space="preserve"> needed</w:t>
      </w:r>
      <w:r w:rsidR="000B6D9D">
        <w:t xml:space="preserve"> (maximum)</w:t>
      </w:r>
      <w:r>
        <w:t xml:space="preserve">: </w:t>
      </w:r>
      <w:r w:rsidR="000B6D9D">
        <w:t>4,741,212</w:t>
      </w:r>
    </w:p>
    <w:p w:rsidR="00051F47" w:rsidRDefault="009C4DCE" w:rsidP="000B6D9D">
      <w:pPr>
        <w:pStyle w:val="Heading3"/>
        <w:spacing w:after="240" w:line="360" w:lineRule="auto"/>
        <w:contextualSpacing w:val="0"/>
      </w:pPr>
      <w:bookmarkStart w:id="6" w:name="h.uy2xamy5nbp" w:colFirst="0" w:colLast="0"/>
      <w:bookmarkEnd w:id="6"/>
      <w:r>
        <w:t>Duration vs. Exposure</w:t>
      </w:r>
    </w:p>
    <w:p w:rsidR="00051F47" w:rsidRPr="000F482C" w:rsidRDefault="00205441" w:rsidP="000F482C">
      <w:pPr>
        <w:spacing w:after="240" w:line="360" w:lineRule="auto"/>
        <w:rPr>
          <w:color w:val="auto"/>
        </w:rPr>
      </w:pPr>
      <w:r w:rsidRPr="00205441">
        <w:rPr>
          <w:color w:val="auto"/>
        </w:rPr>
        <w:t>Implementing a screener to provide expectations on time commi</w:t>
      </w:r>
      <w:r w:rsidR="000F482C">
        <w:rPr>
          <w:color w:val="auto"/>
        </w:rPr>
        <w:t xml:space="preserve">tment for a course is low risk and is not expected to cause significant dips in enrollment or user satisfaction. Therefore, it is reasonable to divert or expose 100% of the traffic to the split test. Based on the number of </w:t>
      </w:r>
      <w:proofErr w:type="spellStart"/>
      <w:r w:rsidR="000F482C">
        <w:rPr>
          <w:color w:val="auto"/>
        </w:rPr>
        <w:t>pageviews</w:t>
      </w:r>
      <w:proofErr w:type="spellEnd"/>
      <w:r w:rsidR="000F482C">
        <w:rPr>
          <w:color w:val="auto"/>
        </w:rPr>
        <w:t xml:space="preserve"> needed from the previous calculations</w:t>
      </w:r>
      <w:r w:rsidR="003F6BB6">
        <w:rPr>
          <w:color w:val="auto"/>
        </w:rPr>
        <w:t xml:space="preserve"> and an average of 40,000 </w:t>
      </w:r>
      <w:proofErr w:type="spellStart"/>
      <w:r w:rsidR="003F6BB6">
        <w:rPr>
          <w:color w:val="auto"/>
        </w:rPr>
        <w:t>pageviews</w:t>
      </w:r>
      <w:proofErr w:type="spellEnd"/>
      <w:r w:rsidR="003F6BB6">
        <w:rPr>
          <w:color w:val="auto"/>
        </w:rPr>
        <w:t xml:space="preserve"> per day</w:t>
      </w:r>
      <w:r w:rsidR="000F482C">
        <w:rPr>
          <w:color w:val="auto"/>
        </w:rPr>
        <w:t xml:space="preserve">, the experiment would need to last 119 days, which is </w:t>
      </w:r>
      <w:r w:rsidR="003F6BB6">
        <w:rPr>
          <w:color w:val="auto"/>
        </w:rPr>
        <w:t>unreasonably</w:t>
      </w:r>
      <w:r w:rsidR="000F482C">
        <w:rPr>
          <w:color w:val="auto"/>
        </w:rPr>
        <w:t xml:space="preserve"> long</w:t>
      </w:r>
      <w:r w:rsidR="00D24492">
        <w:rPr>
          <w:color w:val="auto"/>
        </w:rPr>
        <w:t xml:space="preserve"> and increases risk of exposure and potential opportunity costs</w:t>
      </w:r>
      <w:r w:rsidR="003F6BB6">
        <w:rPr>
          <w:color w:val="auto"/>
        </w:rPr>
        <w:t xml:space="preserve">. If the fraction of traffic diverted is 50%, the length of the experiment, driven by the retention rate, is still 59 days. If retention is removed as an evaluation metric, then the number of </w:t>
      </w:r>
      <w:proofErr w:type="spellStart"/>
      <w:r w:rsidR="003F6BB6">
        <w:rPr>
          <w:color w:val="auto"/>
        </w:rPr>
        <w:t>pageviews</w:t>
      </w:r>
      <w:proofErr w:type="spellEnd"/>
      <w:r w:rsidR="003F6BB6">
        <w:rPr>
          <w:color w:val="auto"/>
        </w:rPr>
        <w:t xml:space="preserve"> needed (</w:t>
      </w:r>
      <w:r w:rsidR="00E26750">
        <w:rPr>
          <w:color w:val="auto"/>
        </w:rPr>
        <w:t xml:space="preserve">now </w:t>
      </w:r>
      <w:r w:rsidR="003F6BB6">
        <w:rPr>
          <w:color w:val="auto"/>
        </w:rPr>
        <w:t>driven by net conversion) drops to 685,325, and the length of experiment reduces down to 17 days, a much more reasonable time frame.</w:t>
      </w:r>
    </w:p>
    <w:tbl>
      <w:tblPr>
        <w:tblStyle w:val="TableGrid"/>
        <w:tblW w:w="0" w:type="auto"/>
        <w:jc w:val="center"/>
        <w:tblLayout w:type="fixed"/>
        <w:tblLook w:val="04A0" w:firstRow="1" w:lastRow="0" w:firstColumn="1" w:lastColumn="0" w:noHBand="0" w:noVBand="1"/>
      </w:tblPr>
      <w:tblGrid>
        <w:gridCol w:w="3420"/>
        <w:gridCol w:w="1440"/>
        <w:gridCol w:w="1260"/>
        <w:gridCol w:w="1440"/>
      </w:tblGrid>
      <w:tr w:rsidR="007C2500" w:rsidRPr="007C2500" w:rsidTr="007C2500">
        <w:trPr>
          <w:trHeight w:val="506"/>
          <w:jc w:val="center"/>
        </w:trPr>
        <w:tc>
          <w:tcPr>
            <w:tcW w:w="3420" w:type="dxa"/>
            <w:hideMark/>
          </w:tcPr>
          <w:p w:rsidR="007C2500" w:rsidRPr="007C2500" w:rsidRDefault="007C2500"/>
        </w:tc>
        <w:tc>
          <w:tcPr>
            <w:tcW w:w="1440" w:type="dxa"/>
            <w:vAlign w:val="center"/>
            <w:hideMark/>
          </w:tcPr>
          <w:p w:rsidR="007C2500" w:rsidRPr="007C2500" w:rsidRDefault="007C2500" w:rsidP="007C2500">
            <w:pPr>
              <w:jc w:val="center"/>
              <w:rPr>
                <w:b/>
                <w:bCs/>
              </w:rPr>
            </w:pPr>
            <w:r>
              <w:rPr>
                <w:b/>
                <w:bCs/>
              </w:rPr>
              <w:t>Gross C</w:t>
            </w:r>
            <w:r w:rsidRPr="007C2500">
              <w:rPr>
                <w:b/>
                <w:bCs/>
              </w:rPr>
              <w:t>onversion</w:t>
            </w:r>
          </w:p>
        </w:tc>
        <w:tc>
          <w:tcPr>
            <w:tcW w:w="1260" w:type="dxa"/>
            <w:vAlign w:val="center"/>
            <w:hideMark/>
          </w:tcPr>
          <w:p w:rsidR="007C2500" w:rsidRPr="007C2500" w:rsidRDefault="007C2500" w:rsidP="007C2500">
            <w:pPr>
              <w:jc w:val="center"/>
              <w:rPr>
                <w:b/>
                <w:bCs/>
              </w:rPr>
            </w:pPr>
            <w:r w:rsidRPr="007C2500">
              <w:rPr>
                <w:b/>
                <w:bCs/>
              </w:rPr>
              <w:t>Retention</w:t>
            </w:r>
          </w:p>
        </w:tc>
        <w:tc>
          <w:tcPr>
            <w:tcW w:w="1440" w:type="dxa"/>
            <w:noWrap/>
            <w:vAlign w:val="center"/>
            <w:hideMark/>
          </w:tcPr>
          <w:p w:rsidR="007C2500" w:rsidRPr="007C2500" w:rsidRDefault="007C2500" w:rsidP="007C2500">
            <w:pPr>
              <w:jc w:val="center"/>
              <w:rPr>
                <w:b/>
                <w:bCs/>
              </w:rPr>
            </w:pPr>
            <w:r>
              <w:rPr>
                <w:b/>
                <w:bCs/>
              </w:rPr>
              <w:t>Net C</w:t>
            </w:r>
            <w:r w:rsidRPr="007C2500">
              <w:rPr>
                <w:b/>
                <w:bCs/>
              </w:rPr>
              <w:t>onversion</w:t>
            </w:r>
          </w:p>
        </w:tc>
      </w:tr>
      <w:tr w:rsidR="007C2500" w:rsidRPr="007C2500" w:rsidTr="007C2500">
        <w:trPr>
          <w:trHeight w:val="506"/>
          <w:jc w:val="center"/>
        </w:trPr>
        <w:tc>
          <w:tcPr>
            <w:tcW w:w="3420" w:type="dxa"/>
            <w:vAlign w:val="center"/>
            <w:hideMark/>
          </w:tcPr>
          <w:p w:rsidR="007C2500" w:rsidRPr="007C2500" w:rsidRDefault="007C2500" w:rsidP="007C2500">
            <w:r w:rsidRPr="007C2500">
              <w:t>% traffic diverted to experiment</w:t>
            </w:r>
          </w:p>
        </w:tc>
        <w:tc>
          <w:tcPr>
            <w:tcW w:w="1440" w:type="dxa"/>
            <w:vAlign w:val="center"/>
            <w:hideMark/>
          </w:tcPr>
          <w:p w:rsidR="007C2500" w:rsidRPr="007C2500" w:rsidRDefault="007C2500" w:rsidP="007C2500">
            <w:pPr>
              <w:jc w:val="center"/>
            </w:pPr>
            <w:r w:rsidRPr="007C2500">
              <w:t>100%</w:t>
            </w:r>
          </w:p>
        </w:tc>
        <w:tc>
          <w:tcPr>
            <w:tcW w:w="1260" w:type="dxa"/>
            <w:vAlign w:val="center"/>
            <w:hideMark/>
          </w:tcPr>
          <w:p w:rsidR="007C2500" w:rsidRPr="007C2500" w:rsidRDefault="007C2500" w:rsidP="007C2500">
            <w:pPr>
              <w:jc w:val="center"/>
            </w:pPr>
            <w:r w:rsidRPr="007C2500">
              <w:t>100%</w:t>
            </w:r>
          </w:p>
        </w:tc>
        <w:tc>
          <w:tcPr>
            <w:tcW w:w="1440" w:type="dxa"/>
            <w:vAlign w:val="center"/>
            <w:hideMark/>
          </w:tcPr>
          <w:p w:rsidR="007C2500" w:rsidRPr="007C2500" w:rsidRDefault="007C2500" w:rsidP="007C2500">
            <w:pPr>
              <w:jc w:val="center"/>
            </w:pPr>
            <w:r w:rsidRPr="007C2500">
              <w:t>100%</w:t>
            </w:r>
          </w:p>
        </w:tc>
      </w:tr>
      <w:tr w:rsidR="007C2500" w:rsidRPr="007C2500" w:rsidTr="007C2500">
        <w:trPr>
          <w:trHeight w:val="506"/>
          <w:jc w:val="center"/>
        </w:trPr>
        <w:tc>
          <w:tcPr>
            <w:tcW w:w="3420" w:type="dxa"/>
            <w:vAlign w:val="center"/>
            <w:hideMark/>
          </w:tcPr>
          <w:p w:rsidR="007C2500" w:rsidRPr="007C2500" w:rsidRDefault="007C2500" w:rsidP="007C2500">
            <w:r w:rsidRPr="007C2500">
              <w:t>length of experiment (days)</w:t>
            </w:r>
          </w:p>
        </w:tc>
        <w:tc>
          <w:tcPr>
            <w:tcW w:w="1440" w:type="dxa"/>
            <w:vAlign w:val="center"/>
            <w:hideMark/>
          </w:tcPr>
          <w:p w:rsidR="007C2500" w:rsidRPr="007C2500" w:rsidRDefault="007C2500" w:rsidP="007C2500">
            <w:pPr>
              <w:jc w:val="center"/>
            </w:pPr>
            <w:r w:rsidRPr="007C2500">
              <w:t>16</w:t>
            </w:r>
          </w:p>
        </w:tc>
        <w:tc>
          <w:tcPr>
            <w:tcW w:w="1260" w:type="dxa"/>
            <w:vAlign w:val="center"/>
            <w:hideMark/>
          </w:tcPr>
          <w:p w:rsidR="007C2500" w:rsidRPr="007C2500" w:rsidRDefault="007C2500" w:rsidP="007C2500">
            <w:pPr>
              <w:jc w:val="center"/>
            </w:pPr>
            <w:r w:rsidRPr="007C2500">
              <w:t>119</w:t>
            </w:r>
          </w:p>
        </w:tc>
        <w:tc>
          <w:tcPr>
            <w:tcW w:w="1440" w:type="dxa"/>
            <w:vAlign w:val="center"/>
            <w:hideMark/>
          </w:tcPr>
          <w:p w:rsidR="007C2500" w:rsidRPr="007C2500" w:rsidRDefault="007C2500" w:rsidP="007C2500">
            <w:pPr>
              <w:jc w:val="center"/>
            </w:pPr>
            <w:r w:rsidRPr="007C2500">
              <w:t>17</w:t>
            </w:r>
          </w:p>
        </w:tc>
      </w:tr>
    </w:tbl>
    <w:p w:rsidR="007C2500" w:rsidRDefault="007C2500"/>
    <w:p w:rsidR="00051F47" w:rsidRPr="00F87C54" w:rsidRDefault="009C4DCE" w:rsidP="00F87C54">
      <w:pPr>
        <w:pStyle w:val="Heading1"/>
        <w:spacing w:after="240" w:line="360" w:lineRule="auto"/>
        <w:contextualSpacing w:val="0"/>
        <w:rPr>
          <w:b/>
        </w:rPr>
      </w:pPr>
      <w:bookmarkStart w:id="7" w:name="h.yry1zu8g8az7" w:colFirst="0" w:colLast="0"/>
      <w:bookmarkEnd w:id="7"/>
      <w:r w:rsidRPr="00F87C54">
        <w:rPr>
          <w:b/>
        </w:rPr>
        <w:t>Experiment Analysis</w:t>
      </w:r>
    </w:p>
    <w:p w:rsidR="00051F47" w:rsidRPr="00F87C54" w:rsidRDefault="009C4DCE" w:rsidP="00F87C54">
      <w:pPr>
        <w:pStyle w:val="Heading2"/>
        <w:spacing w:after="240" w:line="360" w:lineRule="auto"/>
        <w:contextualSpacing w:val="0"/>
        <w:rPr>
          <w:sz w:val="28"/>
        </w:rPr>
      </w:pPr>
      <w:bookmarkStart w:id="8" w:name="h.cizdts6ye33u" w:colFirst="0" w:colLast="0"/>
      <w:bookmarkEnd w:id="8"/>
      <w:r w:rsidRPr="00F87C54">
        <w:rPr>
          <w:sz w:val="28"/>
        </w:rPr>
        <w:t>Sanity Checks</w:t>
      </w:r>
    </w:p>
    <w:p w:rsidR="00CE5294" w:rsidRDefault="00CE5294" w:rsidP="00F87C54">
      <w:pPr>
        <w:spacing w:after="240" w:line="360" w:lineRule="auto"/>
      </w:pPr>
      <w:r>
        <w:lastRenderedPageBreak/>
        <w:t>Number of cookies:</w:t>
      </w:r>
    </w:p>
    <w:tbl>
      <w:tblPr>
        <w:tblStyle w:val="TableGrid"/>
        <w:tblW w:w="0" w:type="auto"/>
        <w:jc w:val="center"/>
        <w:tblLook w:val="04A0" w:firstRow="1" w:lastRow="0" w:firstColumn="1" w:lastColumn="0" w:noHBand="0" w:noVBand="1"/>
      </w:tblPr>
      <w:tblGrid>
        <w:gridCol w:w="3405"/>
        <w:gridCol w:w="1501"/>
        <w:gridCol w:w="1415"/>
      </w:tblGrid>
      <w:tr w:rsidR="00CE5294" w:rsidRPr="00CE5294" w:rsidTr="00CE5294">
        <w:trPr>
          <w:trHeight w:val="311"/>
          <w:jc w:val="center"/>
        </w:trPr>
        <w:tc>
          <w:tcPr>
            <w:tcW w:w="3405" w:type="dxa"/>
            <w:noWrap/>
            <w:vAlign w:val="center"/>
            <w:hideMark/>
          </w:tcPr>
          <w:p w:rsidR="00CE5294" w:rsidRPr="00CE5294" w:rsidRDefault="00CE5294" w:rsidP="00CE5294"/>
        </w:tc>
        <w:tc>
          <w:tcPr>
            <w:tcW w:w="1501" w:type="dxa"/>
            <w:noWrap/>
            <w:vAlign w:val="center"/>
            <w:hideMark/>
          </w:tcPr>
          <w:p w:rsidR="00CE5294" w:rsidRPr="00CE5294" w:rsidRDefault="00CE5294" w:rsidP="00CE5294">
            <w:pPr>
              <w:jc w:val="center"/>
              <w:rPr>
                <w:b/>
              </w:rPr>
            </w:pPr>
            <w:r w:rsidRPr="00CE5294">
              <w:rPr>
                <w:b/>
              </w:rPr>
              <w:t>Control</w:t>
            </w:r>
          </w:p>
        </w:tc>
        <w:tc>
          <w:tcPr>
            <w:tcW w:w="1415" w:type="dxa"/>
            <w:noWrap/>
            <w:vAlign w:val="center"/>
            <w:hideMark/>
          </w:tcPr>
          <w:p w:rsidR="00CE5294" w:rsidRPr="00CE5294" w:rsidRDefault="00CE5294" w:rsidP="00CE5294">
            <w:pPr>
              <w:jc w:val="center"/>
              <w:rPr>
                <w:b/>
              </w:rPr>
            </w:pPr>
            <w:r w:rsidRPr="00CE5294">
              <w:rPr>
                <w:b/>
              </w:rPr>
              <w:t>Experiment</w:t>
            </w:r>
          </w:p>
        </w:tc>
      </w:tr>
      <w:tr w:rsidR="00CE5294" w:rsidRPr="00CE5294" w:rsidTr="00CE5294">
        <w:trPr>
          <w:trHeight w:val="311"/>
          <w:jc w:val="center"/>
        </w:trPr>
        <w:tc>
          <w:tcPr>
            <w:tcW w:w="3405" w:type="dxa"/>
            <w:noWrap/>
            <w:vAlign w:val="center"/>
            <w:hideMark/>
          </w:tcPr>
          <w:p w:rsidR="00CE5294" w:rsidRPr="00CE5294" w:rsidRDefault="00CE5294" w:rsidP="00CE5294">
            <w:r>
              <w:t>Number of</w:t>
            </w:r>
            <w:r w:rsidRPr="00CE5294">
              <w:t xml:space="preserve"> </w:t>
            </w:r>
            <w:proofErr w:type="spellStart"/>
            <w:r w:rsidRPr="00CE5294">
              <w:t>pageviews</w:t>
            </w:r>
            <w:proofErr w:type="spellEnd"/>
          </w:p>
        </w:tc>
        <w:tc>
          <w:tcPr>
            <w:tcW w:w="1501" w:type="dxa"/>
            <w:noWrap/>
            <w:vAlign w:val="center"/>
            <w:hideMark/>
          </w:tcPr>
          <w:p w:rsidR="00CE5294" w:rsidRPr="00CE5294" w:rsidRDefault="00CE5294" w:rsidP="00CE5294">
            <w:pPr>
              <w:jc w:val="center"/>
            </w:pPr>
            <w:r w:rsidRPr="00CE5294">
              <w:t>345</w:t>
            </w:r>
            <w:r>
              <w:t>,</w:t>
            </w:r>
            <w:r w:rsidRPr="00CE5294">
              <w:t>543</w:t>
            </w:r>
          </w:p>
        </w:tc>
        <w:tc>
          <w:tcPr>
            <w:tcW w:w="1415" w:type="dxa"/>
            <w:noWrap/>
            <w:vAlign w:val="center"/>
            <w:hideMark/>
          </w:tcPr>
          <w:p w:rsidR="00CE5294" w:rsidRPr="00CE5294" w:rsidRDefault="00CE5294" w:rsidP="00CE5294">
            <w:pPr>
              <w:jc w:val="center"/>
            </w:pPr>
            <w:r w:rsidRPr="00CE5294">
              <w:t>344</w:t>
            </w:r>
            <w:r>
              <w:t>,</w:t>
            </w:r>
            <w:r w:rsidRPr="00CE5294">
              <w:t>660</w:t>
            </w:r>
          </w:p>
        </w:tc>
      </w:tr>
      <w:tr w:rsidR="00CE5294" w:rsidRPr="00CE5294" w:rsidTr="00CE5294">
        <w:trPr>
          <w:trHeight w:val="311"/>
          <w:jc w:val="center"/>
        </w:trPr>
        <w:tc>
          <w:tcPr>
            <w:tcW w:w="6321" w:type="dxa"/>
            <w:gridSpan w:val="3"/>
            <w:noWrap/>
            <w:vAlign w:val="center"/>
            <w:hideMark/>
          </w:tcPr>
          <w:p w:rsidR="00CE5294" w:rsidRPr="00CE5294" w:rsidRDefault="00CE5294" w:rsidP="00CE5294"/>
        </w:tc>
      </w:tr>
      <w:tr w:rsidR="00CE5294" w:rsidRPr="00CE5294" w:rsidTr="00CE5294">
        <w:trPr>
          <w:trHeight w:val="311"/>
          <w:jc w:val="center"/>
        </w:trPr>
        <w:tc>
          <w:tcPr>
            <w:tcW w:w="3405" w:type="dxa"/>
            <w:noWrap/>
            <w:vAlign w:val="center"/>
            <w:hideMark/>
          </w:tcPr>
          <w:p w:rsidR="00CE5294" w:rsidRPr="00CE5294" w:rsidRDefault="00CE5294" w:rsidP="00CE5294">
            <w:pPr>
              <w:rPr>
                <w:i/>
              </w:rPr>
            </w:pPr>
            <w:r w:rsidRPr="00CE5294">
              <w:rPr>
                <w:i/>
              </w:rPr>
              <w:t>expected fraction of diversion</w:t>
            </w:r>
          </w:p>
        </w:tc>
        <w:tc>
          <w:tcPr>
            <w:tcW w:w="2916" w:type="dxa"/>
            <w:gridSpan w:val="2"/>
            <w:noWrap/>
            <w:vAlign w:val="center"/>
            <w:hideMark/>
          </w:tcPr>
          <w:p w:rsidR="00CE5294" w:rsidRPr="00CE5294" w:rsidRDefault="00CE5294" w:rsidP="00CE5294">
            <w:pPr>
              <w:jc w:val="center"/>
            </w:pPr>
            <w:r w:rsidRPr="00CE5294">
              <w:t>0.5</w:t>
            </w:r>
          </w:p>
        </w:tc>
      </w:tr>
      <w:tr w:rsidR="00CE5294" w:rsidRPr="00CE5294" w:rsidTr="00CE5294">
        <w:trPr>
          <w:trHeight w:val="311"/>
          <w:jc w:val="center"/>
        </w:trPr>
        <w:tc>
          <w:tcPr>
            <w:tcW w:w="3405" w:type="dxa"/>
            <w:noWrap/>
            <w:vAlign w:val="center"/>
            <w:hideMark/>
          </w:tcPr>
          <w:p w:rsidR="00CE5294" w:rsidRPr="00F72668" w:rsidRDefault="00CE5294" w:rsidP="00CE5294">
            <w:pPr>
              <w:rPr>
                <w:b/>
                <w:i/>
              </w:rPr>
            </w:pPr>
            <w:r w:rsidRPr="00F72668">
              <w:rPr>
                <w:b/>
                <w:i/>
              </w:rPr>
              <w:t>observed fraction of diversion</w:t>
            </w:r>
          </w:p>
        </w:tc>
        <w:tc>
          <w:tcPr>
            <w:tcW w:w="2916" w:type="dxa"/>
            <w:gridSpan w:val="2"/>
            <w:noWrap/>
            <w:vAlign w:val="center"/>
            <w:hideMark/>
          </w:tcPr>
          <w:p w:rsidR="00CE5294" w:rsidRPr="00F72668" w:rsidRDefault="00CE5294" w:rsidP="00CE5294">
            <w:pPr>
              <w:jc w:val="center"/>
              <w:rPr>
                <w:b/>
              </w:rPr>
            </w:pPr>
            <w:r w:rsidRPr="00F72668">
              <w:rPr>
                <w:b/>
              </w:rPr>
              <w:t>0.5006</w:t>
            </w:r>
          </w:p>
        </w:tc>
      </w:tr>
      <w:tr w:rsidR="00CE5294" w:rsidRPr="00CE5294" w:rsidTr="00CE5294">
        <w:trPr>
          <w:trHeight w:val="311"/>
          <w:jc w:val="center"/>
        </w:trPr>
        <w:tc>
          <w:tcPr>
            <w:tcW w:w="3405" w:type="dxa"/>
            <w:noWrap/>
            <w:vAlign w:val="center"/>
            <w:hideMark/>
          </w:tcPr>
          <w:p w:rsidR="00CE5294" w:rsidRPr="00CE5294" w:rsidRDefault="00CE5294" w:rsidP="00CE5294">
            <w:pPr>
              <w:rPr>
                <w:i/>
              </w:rPr>
            </w:pPr>
            <w:r w:rsidRPr="00CE5294">
              <w:rPr>
                <w:i/>
              </w:rPr>
              <w:t>standard deviation, SE</w:t>
            </w:r>
          </w:p>
        </w:tc>
        <w:tc>
          <w:tcPr>
            <w:tcW w:w="2916" w:type="dxa"/>
            <w:gridSpan w:val="2"/>
            <w:noWrap/>
            <w:vAlign w:val="center"/>
            <w:hideMark/>
          </w:tcPr>
          <w:p w:rsidR="00CE5294" w:rsidRPr="00CE5294" w:rsidRDefault="00CE5294" w:rsidP="00CE5294">
            <w:pPr>
              <w:jc w:val="center"/>
            </w:pPr>
            <w:r>
              <w:t>0.0006</w:t>
            </w:r>
          </w:p>
        </w:tc>
      </w:tr>
      <w:tr w:rsidR="00CE5294" w:rsidRPr="00CE5294" w:rsidTr="00CE5294">
        <w:trPr>
          <w:trHeight w:val="311"/>
          <w:jc w:val="center"/>
        </w:trPr>
        <w:tc>
          <w:tcPr>
            <w:tcW w:w="3405" w:type="dxa"/>
            <w:noWrap/>
            <w:vAlign w:val="center"/>
            <w:hideMark/>
          </w:tcPr>
          <w:p w:rsidR="00CE5294" w:rsidRPr="00CE5294" w:rsidRDefault="00CE5294" w:rsidP="00CE5294">
            <w:pPr>
              <w:rPr>
                <w:i/>
              </w:rPr>
            </w:pPr>
            <w:r w:rsidRPr="00CE5294">
              <w:rPr>
                <w:i/>
              </w:rPr>
              <w:t>z-score (95% CI)</w:t>
            </w:r>
          </w:p>
        </w:tc>
        <w:tc>
          <w:tcPr>
            <w:tcW w:w="2916" w:type="dxa"/>
            <w:gridSpan w:val="2"/>
            <w:noWrap/>
            <w:vAlign w:val="center"/>
            <w:hideMark/>
          </w:tcPr>
          <w:p w:rsidR="00CE5294" w:rsidRPr="00CE5294" w:rsidRDefault="00CE5294" w:rsidP="00CE5294">
            <w:pPr>
              <w:jc w:val="center"/>
            </w:pPr>
            <w:r w:rsidRPr="00CE5294">
              <w:t>1.96</w:t>
            </w:r>
          </w:p>
        </w:tc>
      </w:tr>
      <w:tr w:rsidR="00CE5294" w:rsidRPr="00CE5294" w:rsidTr="00CE5294">
        <w:trPr>
          <w:trHeight w:val="311"/>
          <w:jc w:val="center"/>
        </w:trPr>
        <w:tc>
          <w:tcPr>
            <w:tcW w:w="3405" w:type="dxa"/>
            <w:noWrap/>
            <w:vAlign w:val="center"/>
            <w:hideMark/>
          </w:tcPr>
          <w:p w:rsidR="00CE5294" w:rsidRPr="00CE5294" w:rsidRDefault="00CE5294" w:rsidP="00CE5294">
            <w:pPr>
              <w:rPr>
                <w:i/>
              </w:rPr>
            </w:pPr>
            <w:r w:rsidRPr="00CE5294">
              <w:rPr>
                <w:i/>
              </w:rPr>
              <w:t>margin of error, z*SE</w:t>
            </w:r>
          </w:p>
        </w:tc>
        <w:tc>
          <w:tcPr>
            <w:tcW w:w="2916" w:type="dxa"/>
            <w:gridSpan w:val="2"/>
            <w:noWrap/>
            <w:vAlign w:val="center"/>
            <w:hideMark/>
          </w:tcPr>
          <w:p w:rsidR="00CE5294" w:rsidRPr="00CE5294" w:rsidRDefault="00CE5294" w:rsidP="00CE5294">
            <w:pPr>
              <w:jc w:val="center"/>
            </w:pPr>
            <w:r w:rsidRPr="00CE5294">
              <w:t>0.0012</w:t>
            </w:r>
          </w:p>
        </w:tc>
      </w:tr>
      <w:tr w:rsidR="00CE5294" w:rsidRPr="00CE5294" w:rsidTr="00CE5294">
        <w:trPr>
          <w:trHeight w:val="311"/>
          <w:jc w:val="center"/>
        </w:trPr>
        <w:tc>
          <w:tcPr>
            <w:tcW w:w="3405" w:type="dxa"/>
            <w:noWrap/>
            <w:vAlign w:val="center"/>
            <w:hideMark/>
          </w:tcPr>
          <w:p w:rsidR="00CE5294" w:rsidRPr="00F72668" w:rsidRDefault="00F72668" w:rsidP="00CE5294">
            <w:pPr>
              <w:rPr>
                <w:b/>
                <w:i/>
              </w:rPr>
            </w:pPr>
            <w:r>
              <w:rPr>
                <w:b/>
                <w:i/>
              </w:rPr>
              <w:t>95% confidence interval</w:t>
            </w:r>
          </w:p>
        </w:tc>
        <w:tc>
          <w:tcPr>
            <w:tcW w:w="2916" w:type="dxa"/>
            <w:gridSpan w:val="2"/>
            <w:noWrap/>
            <w:vAlign w:val="center"/>
            <w:hideMark/>
          </w:tcPr>
          <w:p w:rsidR="00CE5294" w:rsidRPr="00F72668" w:rsidRDefault="00F72668" w:rsidP="00CE5294">
            <w:pPr>
              <w:jc w:val="center"/>
              <w:rPr>
                <w:b/>
              </w:rPr>
            </w:pPr>
            <w:r>
              <w:rPr>
                <w:b/>
              </w:rPr>
              <w:t>(</w:t>
            </w:r>
            <w:r w:rsidR="00CE5294" w:rsidRPr="00F72668">
              <w:rPr>
                <w:b/>
              </w:rPr>
              <w:t>0.4988</w:t>
            </w:r>
            <w:r>
              <w:rPr>
                <w:b/>
              </w:rPr>
              <w:t xml:space="preserve">, </w:t>
            </w:r>
            <w:r w:rsidRPr="00F72668">
              <w:rPr>
                <w:b/>
              </w:rPr>
              <w:t>0.5012</w:t>
            </w:r>
            <w:r>
              <w:rPr>
                <w:b/>
              </w:rPr>
              <w:t>)</w:t>
            </w:r>
          </w:p>
        </w:tc>
      </w:tr>
      <w:tr w:rsidR="00CE5294" w:rsidRPr="00CE5294" w:rsidTr="00CE5294">
        <w:trPr>
          <w:trHeight w:val="311"/>
          <w:jc w:val="center"/>
        </w:trPr>
        <w:tc>
          <w:tcPr>
            <w:tcW w:w="3405" w:type="dxa"/>
            <w:noWrap/>
            <w:vAlign w:val="center"/>
            <w:hideMark/>
          </w:tcPr>
          <w:p w:rsidR="00CE5294" w:rsidRPr="00F72668" w:rsidRDefault="00CE5294" w:rsidP="00CE5294">
            <w:pPr>
              <w:rPr>
                <w:b/>
                <w:i/>
              </w:rPr>
            </w:pPr>
            <w:r w:rsidRPr="00F72668">
              <w:rPr>
                <w:b/>
                <w:i/>
              </w:rPr>
              <w:t>passes sanity check</w:t>
            </w:r>
            <w:r w:rsidR="00D91BA5" w:rsidRPr="00F72668">
              <w:rPr>
                <w:b/>
                <w:i/>
              </w:rPr>
              <w:t>?</w:t>
            </w:r>
          </w:p>
        </w:tc>
        <w:tc>
          <w:tcPr>
            <w:tcW w:w="2916" w:type="dxa"/>
            <w:gridSpan w:val="2"/>
            <w:noWrap/>
            <w:vAlign w:val="center"/>
            <w:hideMark/>
          </w:tcPr>
          <w:p w:rsidR="00CE5294" w:rsidRPr="00F72668" w:rsidRDefault="00CE5294" w:rsidP="00CE5294">
            <w:pPr>
              <w:jc w:val="center"/>
              <w:rPr>
                <w:b/>
              </w:rPr>
            </w:pPr>
            <w:r w:rsidRPr="00F72668">
              <w:rPr>
                <w:b/>
              </w:rPr>
              <w:t>yes</w:t>
            </w:r>
          </w:p>
        </w:tc>
      </w:tr>
    </w:tbl>
    <w:p w:rsidR="00CE5294" w:rsidRDefault="00CE5294"/>
    <w:p w:rsidR="00CE5294" w:rsidRDefault="00CE5294">
      <w:r>
        <w:t>Number of clicks:</w:t>
      </w:r>
    </w:p>
    <w:p w:rsidR="00CE5294" w:rsidRDefault="00CE5294"/>
    <w:tbl>
      <w:tblPr>
        <w:tblStyle w:val="TableGrid"/>
        <w:tblW w:w="0" w:type="auto"/>
        <w:jc w:val="center"/>
        <w:tblLook w:val="04A0" w:firstRow="1" w:lastRow="0" w:firstColumn="1" w:lastColumn="0" w:noHBand="0" w:noVBand="1"/>
      </w:tblPr>
      <w:tblGrid>
        <w:gridCol w:w="3405"/>
        <w:gridCol w:w="1501"/>
        <w:gridCol w:w="1415"/>
      </w:tblGrid>
      <w:tr w:rsidR="00CE5294" w:rsidRPr="00CE5294" w:rsidTr="00F94899">
        <w:trPr>
          <w:trHeight w:val="309"/>
          <w:jc w:val="center"/>
        </w:trPr>
        <w:tc>
          <w:tcPr>
            <w:tcW w:w="3405" w:type="dxa"/>
            <w:noWrap/>
            <w:vAlign w:val="center"/>
            <w:hideMark/>
          </w:tcPr>
          <w:p w:rsidR="00CE5294" w:rsidRPr="00CE5294" w:rsidRDefault="00CE5294" w:rsidP="00F94899"/>
        </w:tc>
        <w:tc>
          <w:tcPr>
            <w:tcW w:w="1501" w:type="dxa"/>
            <w:noWrap/>
            <w:vAlign w:val="center"/>
            <w:hideMark/>
          </w:tcPr>
          <w:p w:rsidR="00CE5294" w:rsidRPr="00CE5294" w:rsidRDefault="00CE5294" w:rsidP="00F94899">
            <w:pPr>
              <w:jc w:val="center"/>
              <w:rPr>
                <w:b/>
              </w:rPr>
            </w:pPr>
            <w:r w:rsidRPr="00CE5294">
              <w:rPr>
                <w:b/>
              </w:rPr>
              <w:t>Control</w:t>
            </w:r>
          </w:p>
        </w:tc>
        <w:tc>
          <w:tcPr>
            <w:tcW w:w="1415" w:type="dxa"/>
            <w:noWrap/>
            <w:vAlign w:val="center"/>
            <w:hideMark/>
          </w:tcPr>
          <w:p w:rsidR="00CE5294" w:rsidRPr="00CE5294" w:rsidRDefault="00CE5294" w:rsidP="00F94899">
            <w:pPr>
              <w:jc w:val="center"/>
              <w:rPr>
                <w:b/>
              </w:rPr>
            </w:pPr>
            <w:r w:rsidRPr="00CE5294">
              <w:rPr>
                <w:b/>
              </w:rPr>
              <w:t>Experiment</w:t>
            </w:r>
          </w:p>
        </w:tc>
      </w:tr>
      <w:tr w:rsidR="00CE5294" w:rsidRPr="00CE5294" w:rsidTr="00F94899">
        <w:trPr>
          <w:trHeight w:val="309"/>
          <w:jc w:val="center"/>
        </w:trPr>
        <w:tc>
          <w:tcPr>
            <w:tcW w:w="3405" w:type="dxa"/>
            <w:noWrap/>
            <w:vAlign w:val="center"/>
            <w:hideMark/>
          </w:tcPr>
          <w:p w:rsidR="00CE5294" w:rsidRPr="00CE5294" w:rsidRDefault="00CE5294" w:rsidP="00F94899">
            <w:r>
              <w:t>Number of</w:t>
            </w:r>
            <w:r w:rsidRPr="00CE5294">
              <w:t xml:space="preserve"> </w:t>
            </w:r>
            <w:proofErr w:type="spellStart"/>
            <w:r w:rsidRPr="00CE5294">
              <w:t>pageviews</w:t>
            </w:r>
            <w:proofErr w:type="spellEnd"/>
          </w:p>
        </w:tc>
        <w:tc>
          <w:tcPr>
            <w:tcW w:w="1501" w:type="dxa"/>
            <w:noWrap/>
            <w:vAlign w:val="center"/>
          </w:tcPr>
          <w:p w:rsidR="00CE5294" w:rsidRPr="00CE5294" w:rsidRDefault="00CE5294" w:rsidP="00F94899">
            <w:pPr>
              <w:jc w:val="center"/>
            </w:pPr>
            <w:r w:rsidRPr="00CE5294">
              <w:t>28378</w:t>
            </w:r>
          </w:p>
        </w:tc>
        <w:tc>
          <w:tcPr>
            <w:tcW w:w="1415" w:type="dxa"/>
            <w:noWrap/>
            <w:vAlign w:val="center"/>
          </w:tcPr>
          <w:p w:rsidR="00CE5294" w:rsidRPr="00CE5294" w:rsidRDefault="00CE5294" w:rsidP="00F94899">
            <w:pPr>
              <w:jc w:val="center"/>
            </w:pPr>
            <w:r w:rsidRPr="00CE5294">
              <w:t>28325</w:t>
            </w:r>
          </w:p>
        </w:tc>
      </w:tr>
      <w:tr w:rsidR="00CE5294" w:rsidRPr="00CE5294" w:rsidTr="00F94899">
        <w:trPr>
          <w:trHeight w:val="309"/>
          <w:jc w:val="center"/>
        </w:trPr>
        <w:tc>
          <w:tcPr>
            <w:tcW w:w="6321" w:type="dxa"/>
            <w:gridSpan w:val="3"/>
            <w:noWrap/>
            <w:vAlign w:val="center"/>
            <w:hideMark/>
          </w:tcPr>
          <w:p w:rsidR="00CE5294" w:rsidRPr="00CE5294" w:rsidRDefault="00CE5294" w:rsidP="00F94899">
            <w:pPr>
              <w:jc w:val="center"/>
            </w:pPr>
          </w:p>
        </w:tc>
      </w:tr>
      <w:tr w:rsidR="00CE5294" w:rsidRPr="00CE5294" w:rsidTr="00F94899">
        <w:trPr>
          <w:trHeight w:val="309"/>
          <w:jc w:val="center"/>
        </w:trPr>
        <w:tc>
          <w:tcPr>
            <w:tcW w:w="3405" w:type="dxa"/>
            <w:noWrap/>
            <w:vAlign w:val="center"/>
            <w:hideMark/>
          </w:tcPr>
          <w:p w:rsidR="00CE5294" w:rsidRPr="00D91BA5" w:rsidRDefault="00CE5294" w:rsidP="00F94899">
            <w:pPr>
              <w:rPr>
                <w:i/>
              </w:rPr>
            </w:pPr>
            <w:r w:rsidRPr="00D91BA5">
              <w:rPr>
                <w:i/>
              </w:rPr>
              <w:t>expected fraction of diversion</w:t>
            </w:r>
          </w:p>
        </w:tc>
        <w:tc>
          <w:tcPr>
            <w:tcW w:w="2916" w:type="dxa"/>
            <w:gridSpan w:val="2"/>
            <w:noWrap/>
            <w:vAlign w:val="center"/>
          </w:tcPr>
          <w:p w:rsidR="00CE5294" w:rsidRPr="00CE5294" w:rsidRDefault="00CE5294" w:rsidP="00F94899">
            <w:pPr>
              <w:jc w:val="center"/>
            </w:pPr>
            <w:r w:rsidRPr="00CE5294">
              <w:t>0.5</w:t>
            </w:r>
          </w:p>
        </w:tc>
      </w:tr>
      <w:tr w:rsidR="00CE5294" w:rsidRPr="00CE5294" w:rsidTr="00F94899">
        <w:trPr>
          <w:trHeight w:val="309"/>
          <w:jc w:val="center"/>
        </w:trPr>
        <w:tc>
          <w:tcPr>
            <w:tcW w:w="3405" w:type="dxa"/>
            <w:noWrap/>
            <w:vAlign w:val="center"/>
            <w:hideMark/>
          </w:tcPr>
          <w:p w:rsidR="00CE5294" w:rsidRPr="00F72668" w:rsidRDefault="00CE5294" w:rsidP="00F94899">
            <w:pPr>
              <w:rPr>
                <w:b/>
                <w:i/>
              </w:rPr>
            </w:pPr>
            <w:r w:rsidRPr="00F72668">
              <w:rPr>
                <w:b/>
                <w:i/>
              </w:rPr>
              <w:t>observed fraction of diversion</w:t>
            </w:r>
          </w:p>
        </w:tc>
        <w:tc>
          <w:tcPr>
            <w:tcW w:w="2916" w:type="dxa"/>
            <w:gridSpan w:val="2"/>
            <w:noWrap/>
            <w:vAlign w:val="center"/>
          </w:tcPr>
          <w:p w:rsidR="00CE5294" w:rsidRPr="00F72668" w:rsidRDefault="00CE5294" w:rsidP="00F94899">
            <w:pPr>
              <w:jc w:val="center"/>
              <w:rPr>
                <w:b/>
              </w:rPr>
            </w:pPr>
            <w:r w:rsidRPr="00F72668">
              <w:rPr>
                <w:b/>
              </w:rPr>
              <w:t>0.5005</w:t>
            </w:r>
          </w:p>
        </w:tc>
      </w:tr>
      <w:tr w:rsidR="00CE5294" w:rsidRPr="00CE5294" w:rsidTr="00F94899">
        <w:trPr>
          <w:trHeight w:val="309"/>
          <w:jc w:val="center"/>
        </w:trPr>
        <w:tc>
          <w:tcPr>
            <w:tcW w:w="3405" w:type="dxa"/>
            <w:noWrap/>
            <w:vAlign w:val="center"/>
            <w:hideMark/>
          </w:tcPr>
          <w:p w:rsidR="00CE5294" w:rsidRPr="00D91BA5" w:rsidRDefault="00CE5294" w:rsidP="00F94899">
            <w:pPr>
              <w:rPr>
                <w:i/>
              </w:rPr>
            </w:pPr>
            <w:r w:rsidRPr="00D91BA5">
              <w:rPr>
                <w:i/>
              </w:rPr>
              <w:t>standard deviation, SE</w:t>
            </w:r>
          </w:p>
        </w:tc>
        <w:tc>
          <w:tcPr>
            <w:tcW w:w="2916" w:type="dxa"/>
            <w:gridSpan w:val="2"/>
            <w:noWrap/>
            <w:vAlign w:val="center"/>
          </w:tcPr>
          <w:p w:rsidR="00CE5294" w:rsidRPr="00CE5294" w:rsidRDefault="00CE5294" w:rsidP="00F94899">
            <w:pPr>
              <w:jc w:val="center"/>
            </w:pPr>
            <w:r>
              <w:t>0.0021</w:t>
            </w:r>
          </w:p>
        </w:tc>
      </w:tr>
      <w:tr w:rsidR="00CE5294" w:rsidRPr="00CE5294" w:rsidTr="00F94899">
        <w:trPr>
          <w:trHeight w:val="309"/>
          <w:jc w:val="center"/>
        </w:trPr>
        <w:tc>
          <w:tcPr>
            <w:tcW w:w="3405" w:type="dxa"/>
            <w:noWrap/>
            <w:vAlign w:val="center"/>
            <w:hideMark/>
          </w:tcPr>
          <w:p w:rsidR="00CE5294" w:rsidRPr="00D91BA5" w:rsidRDefault="00CE5294" w:rsidP="00F94899">
            <w:pPr>
              <w:rPr>
                <w:i/>
              </w:rPr>
            </w:pPr>
            <w:r w:rsidRPr="00D91BA5">
              <w:rPr>
                <w:i/>
              </w:rPr>
              <w:t>z-score (95% CI)</w:t>
            </w:r>
          </w:p>
        </w:tc>
        <w:tc>
          <w:tcPr>
            <w:tcW w:w="2916" w:type="dxa"/>
            <w:gridSpan w:val="2"/>
            <w:noWrap/>
            <w:vAlign w:val="center"/>
          </w:tcPr>
          <w:p w:rsidR="00CE5294" w:rsidRPr="00CE5294" w:rsidRDefault="00CE5294" w:rsidP="00F94899">
            <w:pPr>
              <w:jc w:val="center"/>
            </w:pPr>
            <w:r w:rsidRPr="00CE5294">
              <w:t>1.96</w:t>
            </w:r>
          </w:p>
        </w:tc>
      </w:tr>
      <w:tr w:rsidR="00CE5294" w:rsidRPr="00CE5294" w:rsidTr="00F94899">
        <w:trPr>
          <w:trHeight w:val="309"/>
          <w:jc w:val="center"/>
        </w:trPr>
        <w:tc>
          <w:tcPr>
            <w:tcW w:w="3405" w:type="dxa"/>
            <w:noWrap/>
            <w:vAlign w:val="center"/>
            <w:hideMark/>
          </w:tcPr>
          <w:p w:rsidR="00CE5294" w:rsidRPr="00D91BA5" w:rsidRDefault="00CE5294" w:rsidP="00F94899">
            <w:pPr>
              <w:rPr>
                <w:i/>
              </w:rPr>
            </w:pPr>
            <w:r w:rsidRPr="00D91BA5">
              <w:rPr>
                <w:i/>
              </w:rPr>
              <w:t>margin of error, z*SE</w:t>
            </w:r>
          </w:p>
        </w:tc>
        <w:tc>
          <w:tcPr>
            <w:tcW w:w="2916" w:type="dxa"/>
            <w:gridSpan w:val="2"/>
            <w:noWrap/>
            <w:vAlign w:val="center"/>
          </w:tcPr>
          <w:p w:rsidR="00CE5294" w:rsidRPr="00CE5294" w:rsidRDefault="00CE5294" w:rsidP="00F94899">
            <w:pPr>
              <w:jc w:val="center"/>
            </w:pPr>
            <w:r w:rsidRPr="00CE5294">
              <w:t>0.0041</w:t>
            </w:r>
          </w:p>
        </w:tc>
      </w:tr>
      <w:tr w:rsidR="00CE5294" w:rsidRPr="00CE5294" w:rsidTr="00F94899">
        <w:trPr>
          <w:trHeight w:val="309"/>
          <w:jc w:val="center"/>
        </w:trPr>
        <w:tc>
          <w:tcPr>
            <w:tcW w:w="3405" w:type="dxa"/>
            <w:noWrap/>
            <w:vAlign w:val="center"/>
            <w:hideMark/>
          </w:tcPr>
          <w:p w:rsidR="00CE5294" w:rsidRPr="00F72668" w:rsidRDefault="00F72668" w:rsidP="00F94899">
            <w:pPr>
              <w:rPr>
                <w:b/>
                <w:i/>
              </w:rPr>
            </w:pPr>
            <w:r>
              <w:rPr>
                <w:b/>
                <w:i/>
              </w:rPr>
              <w:t>95% confidence interval</w:t>
            </w:r>
          </w:p>
        </w:tc>
        <w:tc>
          <w:tcPr>
            <w:tcW w:w="2916" w:type="dxa"/>
            <w:gridSpan w:val="2"/>
            <w:noWrap/>
            <w:vAlign w:val="center"/>
          </w:tcPr>
          <w:p w:rsidR="00CE5294" w:rsidRPr="00F72668" w:rsidRDefault="00F72668" w:rsidP="00F94899">
            <w:pPr>
              <w:jc w:val="center"/>
              <w:rPr>
                <w:b/>
              </w:rPr>
            </w:pPr>
            <w:r>
              <w:rPr>
                <w:b/>
              </w:rPr>
              <w:t>(</w:t>
            </w:r>
            <w:r w:rsidR="00CE5294" w:rsidRPr="00F72668">
              <w:rPr>
                <w:b/>
              </w:rPr>
              <w:t>0.4959</w:t>
            </w:r>
            <w:r>
              <w:rPr>
                <w:b/>
              </w:rPr>
              <w:t xml:space="preserve">, </w:t>
            </w:r>
            <w:r w:rsidRPr="00F72668">
              <w:rPr>
                <w:b/>
              </w:rPr>
              <w:t>0.5041</w:t>
            </w:r>
            <w:r>
              <w:rPr>
                <w:b/>
              </w:rPr>
              <w:t>)</w:t>
            </w:r>
          </w:p>
        </w:tc>
      </w:tr>
      <w:tr w:rsidR="00CE5294" w:rsidRPr="00CE5294" w:rsidTr="00F94899">
        <w:trPr>
          <w:trHeight w:val="309"/>
          <w:jc w:val="center"/>
        </w:trPr>
        <w:tc>
          <w:tcPr>
            <w:tcW w:w="3405" w:type="dxa"/>
            <w:noWrap/>
            <w:vAlign w:val="center"/>
            <w:hideMark/>
          </w:tcPr>
          <w:p w:rsidR="00CE5294" w:rsidRPr="00F72668" w:rsidRDefault="00CE5294" w:rsidP="00F94899">
            <w:pPr>
              <w:rPr>
                <w:b/>
                <w:i/>
              </w:rPr>
            </w:pPr>
            <w:r w:rsidRPr="00F72668">
              <w:rPr>
                <w:b/>
                <w:i/>
              </w:rPr>
              <w:t>passes sanity check</w:t>
            </w:r>
            <w:r w:rsidR="00D91BA5" w:rsidRPr="00F72668">
              <w:rPr>
                <w:b/>
                <w:i/>
              </w:rPr>
              <w:t>?</w:t>
            </w:r>
          </w:p>
        </w:tc>
        <w:tc>
          <w:tcPr>
            <w:tcW w:w="2916" w:type="dxa"/>
            <w:gridSpan w:val="2"/>
            <w:noWrap/>
            <w:vAlign w:val="center"/>
          </w:tcPr>
          <w:p w:rsidR="00CE5294" w:rsidRPr="00F72668" w:rsidRDefault="00CE5294" w:rsidP="00F94899">
            <w:pPr>
              <w:jc w:val="center"/>
              <w:rPr>
                <w:b/>
              </w:rPr>
            </w:pPr>
            <w:r w:rsidRPr="00F72668">
              <w:rPr>
                <w:b/>
              </w:rPr>
              <w:t>yes</w:t>
            </w:r>
          </w:p>
        </w:tc>
      </w:tr>
    </w:tbl>
    <w:p w:rsidR="00CE5294" w:rsidRDefault="00CE5294"/>
    <w:p w:rsidR="00CE5294" w:rsidRDefault="00644A51">
      <w:r>
        <w:t>Click-through probability:</w:t>
      </w:r>
    </w:p>
    <w:p w:rsidR="00644A51" w:rsidRDefault="00644A51"/>
    <w:tbl>
      <w:tblPr>
        <w:tblStyle w:val="TableGrid"/>
        <w:tblW w:w="0" w:type="auto"/>
        <w:jc w:val="center"/>
        <w:tblLook w:val="04A0" w:firstRow="1" w:lastRow="0" w:firstColumn="1" w:lastColumn="0" w:noHBand="0" w:noVBand="1"/>
      </w:tblPr>
      <w:tblGrid>
        <w:gridCol w:w="3405"/>
        <w:gridCol w:w="1501"/>
        <w:gridCol w:w="1415"/>
      </w:tblGrid>
      <w:tr w:rsidR="00644A51" w:rsidRPr="00CE5294" w:rsidTr="005D71EF">
        <w:trPr>
          <w:trHeight w:val="309"/>
          <w:jc w:val="center"/>
        </w:trPr>
        <w:tc>
          <w:tcPr>
            <w:tcW w:w="3405" w:type="dxa"/>
            <w:noWrap/>
            <w:vAlign w:val="center"/>
            <w:hideMark/>
          </w:tcPr>
          <w:p w:rsidR="00644A51" w:rsidRPr="00CE5294" w:rsidRDefault="00644A51" w:rsidP="005D71EF"/>
        </w:tc>
        <w:tc>
          <w:tcPr>
            <w:tcW w:w="1501" w:type="dxa"/>
            <w:noWrap/>
            <w:vAlign w:val="center"/>
            <w:hideMark/>
          </w:tcPr>
          <w:p w:rsidR="00644A51" w:rsidRPr="00E151AC" w:rsidRDefault="00644A51" w:rsidP="005D71EF">
            <w:pPr>
              <w:jc w:val="center"/>
            </w:pPr>
            <w:r w:rsidRPr="00E151AC">
              <w:t>Control</w:t>
            </w:r>
          </w:p>
        </w:tc>
        <w:tc>
          <w:tcPr>
            <w:tcW w:w="1415" w:type="dxa"/>
            <w:noWrap/>
            <w:vAlign w:val="center"/>
            <w:hideMark/>
          </w:tcPr>
          <w:p w:rsidR="00644A51" w:rsidRPr="00E151AC" w:rsidRDefault="00644A51" w:rsidP="005D71EF">
            <w:pPr>
              <w:jc w:val="center"/>
            </w:pPr>
            <w:r w:rsidRPr="00E151AC">
              <w:t>Experiment</w:t>
            </w:r>
          </w:p>
        </w:tc>
      </w:tr>
      <w:tr w:rsidR="00644A51" w:rsidRPr="00CE5294" w:rsidTr="005D71EF">
        <w:trPr>
          <w:trHeight w:val="309"/>
          <w:jc w:val="center"/>
        </w:trPr>
        <w:tc>
          <w:tcPr>
            <w:tcW w:w="3405" w:type="dxa"/>
            <w:noWrap/>
            <w:vAlign w:val="center"/>
            <w:hideMark/>
          </w:tcPr>
          <w:p w:rsidR="00644A51" w:rsidRPr="00E151AC" w:rsidRDefault="00644A51" w:rsidP="00644A51">
            <w:r w:rsidRPr="00E151AC">
              <w:t xml:space="preserve"># clicks / # </w:t>
            </w:r>
            <w:proofErr w:type="spellStart"/>
            <w:r w:rsidRPr="00E151AC">
              <w:t>pageviews</w:t>
            </w:r>
            <w:proofErr w:type="spellEnd"/>
          </w:p>
        </w:tc>
        <w:tc>
          <w:tcPr>
            <w:tcW w:w="1501" w:type="dxa"/>
            <w:noWrap/>
            <w:vAlign w:val="center"/>
          </w:tcPr>
          <w:p w:rsidR="00644A51" w:rsidRPr="00E151AC" w:rsidRDefault="00644A51" w:rsidP="00644A51">
            <w:pPr>
              <w:jc w:val="center"/>
            </w:pPr>
            <w:r w:rsidRPr="00E151AC">
              <w:t>0.08213</w:t>
            </w:r>
          </w:p>
        </w:tc>
        <w:tc>
          <w:tcPr>
            <w:tcW w:w="1415" w:type="dxa"/>
            <w:noWrap/>
            <w:vAlign w:val="center"/>
          </w:tcPr>
          <w:p w:rsidR="00644A51" w:rsidRPr="00E151AC" w:rsidRDefault="00644A51" w:rsidP="00644A51">
            <w:pPr>
              <w:jc w:val="center"/>
            </w:pPr>
            <w:r w:rsidRPr="00E151AC">
              <w:t>0.0822</w:t>
            </w:r>
          </w:p>
        </w:tc>
      </w:tr>
      <w:tr w:rsidR="00644A51" w:rsidRPr="00CE5294" w:rsidTr="005D71EF">
        <w:trPr>
          <w:trHeight w:val="309"/>
          <w:jc w:val="center"/>
        </w:trPr>
        <w:tc>
          <w:tcPr>
            <w:tcW w:w="6321" w:type="dxa"/>
            <w:gridSpan w:val="3"/>
            <w:noWrap/>
            <w:vAlign w:val="center"/>
            <w:hideMark/>
          </w:tcPr>
          <w:p w:rsidR="00644A51" w:rsidRPr="00CE5294" w:rsidRDefault="00644A51" w:rsidP="00E151AC"/>
        </w:tc>
      </w:tr>
      <w:tr w:rsidR="00644A51" w:rsidRPr="00CE5294" w:rsidTr="005D71EF">
        <w:trPr>
          <w:trHeight w:val="309"/>
          <w:jc w:val="center"/>
        </w:trPr>
        <w:tc>
          <w:tcPr>
            <w:tcW w:w="3405" w:type="dxa"/>
            <w:noWrap/>
            <w:vAlign w:val="center"/>
            <w:hideMark/>
          </w:tcPr>
          <w:p w:rsidR="00644A51" w:rsidRPr="00E151AC" w:rsidRDefault="00644A51" w:rsidP="00644A51">
            <w:r w:rsidRPr="00E151AC">
              <w:t>expected fraction of diversion</w:t>
            </w:r>
          </w:p>
        </w:tc>
        <w:tc>
          <w:tcPr>
            <w:tcW w:w="2916" w:type="dxa"/>
            <w:gridSpan w:val="2"/>
            <w:noWrap/>
            <w:vAlign w:val="center"/>
          </w:tcPr>
          <w:p w:rsidR="00644A51" w:rsidRPr="00E151AC" w:rsidRDefault="00644A51" w:rsidP="00644A51">
            <w:pPr>
              <w:jc w:val="center"/>
            </w:pPr>
            <w:r w:rsidRPr="00E151AC">
              <w:t>0.0821</w:t>
            </w:r>
          </w:p>
        </w:tc>
      </w:tr>
      <w:tr w:rsidR="00644A51" w:rsidRPr="00CE5294" w:rsidTr="005D71EF">
        <w:trPr>
          <w:trHeight w:val="309"/>
          <w:jc w:val="center"/>
        </w:trPr>
        <w:tc>
          <w:tcPr>
            <w:tcW w:w="3405" w:type="dxa"/>
            <w:noWrap/>
            <w:vAlign w:val="center"/>
            <w:hideMark/>
          </w:tcPr>
          <w:p w:rsidR="00644A51" w:rsidRPr="00F72668" w:rsidRDefault="00644A51" w:rsidP="00644A51">
            <w:pPr>
              <w:rPr>
                <w:b/>
              </w:rPr>
            </w:pPr>
            <w:r w:rsidRPr="00F72668">
              <w:rPr>
                <w:b/>
              </w:rPr>
              <w:t>observed fraction of diversion</w:t>
            </w:r>
          </w:p>
        </w:tc>
        <w:tc>
          <w:tcPr>
            <w:tcW w:w="2916" w:type="dxa"/>
            <w:gridSpan w:val="2"/>
            <w:noWrap/>
            <w:vAlign w:val="center"/>
          </w:tcPr>
          <w:p w:rsidR="00644A51" w:rsidRPr="00F72668" w:rsidRDefault="00644A51" w:rsidP="00644A51">
            <w:pPr>
              <w:jc w:val="center"/>
              <w:rPr>
                <w:b/>
              </w:rPr>
            </w:pPr>
            <w:r w:rsidRPr="00F72668">
              <w:rPr>
                <w:b/>
              </w:rPr>
              <w:t>0.0822</w:t>
            </w:r>
          </w:p>
        </w:tc>
      </w:tr>
      <w:tr w:rsidR="00644A51" w:rsidRPr="00CE5294" w:rsidTr="005D71EF">
        <w:trPr>
          <w:trHeight w:val="309"/>
          <w:jc w:val="center"/>
        </w:trPr>
        <w:tc>
          <w:tcPr>
            <w:tcW w:w="3405" w:type="dxa"/>
            <w:noWrap/>
            <w:vAlign w:val="center"/>
            <w:hideMark/>
          </w:tcPr>
          <w:p w:rsidR="00644A51" w:rsidRPr="00E151AC" w:rsidRDefault="00644A51" w:rsidP="00644A51">
            <w:r w:rsidRPr="00E151AC">
              <w:t>standard deviation, SE</w:t>
            </w:r>
          </w:p>
        </w:tc>
        <w:tc>
          <w:tcPr>
            <w:tcW w:w="2916" w:type="dxa"/>
            <w:gridSpan w:val="2"/>
            <w:noWrap/>
            <w:vAlign w:val="center"/>
          </w:tcPr>
          <w:p w:rsidR="00644A51" w:rsidRPr="00E151AC" w:rsidRDefault="00644A51" w:rsidP="00644A51">
            <w:pPr>
              <w:jc w:val="center"/>
            </w:pPr>
            <w:r w:rsidRPr="00E151AC">
              <w:t>0.0005</w:t>
            </w:r>
          </w:p>
        </w:tc>
      </w:tr>
      <w:tr w:rsidR="00644A51" w:rsidRPr="00CE5294" w:rsidTr="005D71EF">
        <w:trPr>
          <w:trHeight w:val="309"/>
          <w:jc w:val="center"/>
        </w:trPr>
        <w:tc>
          <w:tcPr>
            <w:tcW w:w="3405" w:type="dxa"/>
            <w:noWrap/>
            <w:vAlign w:val="center"/>
            <w:hideMark/>
          </w:tcPr>
          <w:p w:rsidR="00644A51" w:rsidRPr="00E151AC" w:rsidRDefault="00644A51" w:rsidP="00644A51">
            <w:r w:rsidRPr="00E151AC">
              <w:t>z-score (95% CI)</w:t>
            </w:r>
          </w:p>
        </w:tc>
        <w:tc>
          <w:tcPr>
            <w:tcW w:w="2916" w:type="dxa"/>
            <w:gridSpan w:val="2"/>
            <w:noWrap/>
            <w:vAlign w:val="center"/>
          </w:tcPr>
          <w:p w:rsidR="00644A51" w:rsidRPr="00E151AC" w:rsidRDefault="00644A51" w:rsidP="00644A51">
            <w:pPr>
              <w:jc w:val="center"/>
            </w:pPr>
            <w:r w:rsidRPr="00E151AC">
              <w:t>1.96</w:t>
            </w:r>
          </w:p>
        </w:tc>
      </w:tr>
      <w:tr w:rsidR="00644A51" w:rsidRPr="00CE5294" w:rsidTr="005D71EF">
        <w:trPr>
          <w:trHeight w:val="309"/>
          <w:jc w:val="center"/>
        </w:trPr>
        <w:tc>
          <w:tcPr>
            <w:tcW w:w="3405" w:type="dxa"/>
            <w:noWrap/>
            <w:vAlign w:val="center"/>
            <w:hideMark/>
          </w:tcPr>
          <w:p w:rsidR="00644A51" w:rsidRPr="00E151AC" w:rsidRDefault="00644A51" w:rsidP="00644A51">
            <w:r w:rsidRPr="00E151AC">
              <w:t>margin of error, z*SE</w:t>
            </w:r>
          </w:p>
        </w:tc>
        <w:tc>
          <w:tcPr>
            <w:tcW w:w="2916" w:type="dxa"/>
            <w:gridSpan w:val="2"/>
            <w:noWrap/>
            <w:vAlign w:val="center"/>
          </w:tcPr>
          <w:p w:rsidR="00644A51" w:rsidRPr="00E151AC" w:rsidRDefault="00644A51" w:rsidP="00644A51">
            <w:pPr>
              <w:jc w:val="center"/>
            </w:pPr>
            <w:r w:rsidRPr="00E151AC">
              <w:t>0.0009</w:t>
            </w:r>
          </w:p>
        </w:tc>
      </w:tr>
      <w:tr w:rsidR="00644A51" w:rsidRPr="00CE5294" w:rsidTr="005D71EF">
        <w:trPr>
          <w:trHeight w:val="309"/>
          <w:jc w:val="center"/>
        </w:trPr>
        <w:tc>
          <w:tcPr>
            <w:tcW w:w="3405" w:type="dxa"/>
            <w:noWrap/>
            <w:vAlign w:val="center"/>
            <w:hideMark/>
          </w:tcPr>
          <w:p w:rsidR="00644A51" w:rsidRPr="00F72668" w:rsidRDefault="00F72668" w:rsidP="00644A51">
            <w:pPr>
              <w:rPr>
                <w:b/>
              </w:rPr>
            </w:pPr>
            <w:r>
              <w:rPr>
                <w:b/>
              </w:rPr>
              <w:t>95% confidence interval</w:t>
            </w:r>
          </w:p>
        </w:tc>
        <w:tc>
          <w:tcPr>
            <w:tcW w:w="2916" w:type="dxa"/>
            <w:gridSpan w:val="2"/>
            <w:noWrap/>
            <w:vAlign w:val="center"/>
          </w:tcPr>
          <w:p w:rsidR="00644A51" w:rsidRPr="00F72668" w:rsidRDefault="00F72668" w:rsidP="00644A51">
            <w:pPr>
              <w:jc w:val="center"/>
              <w:rPr>
                <w:b/>
              </w:rPr>
            </w:pPr>
            <w:r>
              <w:rPr>
                <w:b/>
              </w:rPr>
              <w:t>(</w:t>
            </w:r>
            <w:r w:rsidR="00644A51" w:rsidRPr="00F72668">
              <w:rPr>
                <w:b/>
              </w:rPr>
              <w:t>0.0812</w:t>
            </w:r>
            <w:r>
              <w:rPr>
                <w:b/>
              </w:rPr>
              <w:t xml:space="preserve">, </w:t>
            </w:r>
            <w:r w:rsidRPr="00F72668">
              <w:rPr>
                <w:b/>
              </w:rPr>
              <w:t>0.0830</w:t>
            </w:r>
            <w:r>
              <w:rPr>
                <w:b/>
              </w:rPr>
              <w:t>)</w:t>
            </w:r>
          </w:p>
        </w:tc>
      </w:tr>
      <w:tr w:rsidR="00644A51" w:rsidRPr="00CE5294" w:rsidTr="005D71EF">
        <w:trPr>
          <w:trHeight w:val="309"/>
          <w:jc w:val="center"/>
        </w:trPr>
        <w:tc>
          <w:tcPr>
            <w:tcW w:w="3405" w:type="dxa"/>
            <w:noWrap/>
            <w:vAlign w:val="center"/>
            <w:hideMark/>
          </w:tcPr>
          <w:p w:rsidR="00644A51" w:rsidRPr="00F72668" w:rsidRDefault="00644A51" w:rsidP="00644A51">
            <w:pPr>
              <w:rPr>
                <w:b/>
              </w:rPr>
            </w:pPr>
            <w:r w:rsidRPr="00F72668">
              <w:rPr>
                <w:b/>
              </w:rPr>
              <w:t>passes sanity check?</w:t>
            </w:r>
          </w:p>
        </w:tc>
        <w:tc>
          <w:tcPr>
            <w:tcW w:w="2916" w:type="dxa"/>
            <w:gridSpan w:val="2"/>
            <w:noWrap/>
            <w:vAlign w:val="center"/>
          </w:tcPr>
          <w:p w:rsidR="00644A51" w:rsidRPr="00F72668" w:rsidRDefault="00644A51" w:rsidP="00644A51">
            <w:pPr>
              <w:jc w:val="center"/>
              <w:rPr>
                <w:b/>
              </w:rPr>
            </w:pPr>
            <w:r w:rsidRPr="00F72668">
              <w:rPr>
                <w:b/>
              </w:rPr>
              <w:t>yes</w:t>
            </w:r>
          </w:p>
        </w:tc>
      </w:tr>
    </w:tbl>
    <w:p w:rsidR="00644A51" w:rsidRDefault="00644A51"/>
    <w:p w:rsidR="00644A51" w:rsidRDefault="005F57F9" w:rsidP="005F57F9">
      <w:pPr>
        <w:spacing w:after="240" w:line="360" w:lineRule="auto"/>
      </w:pPr>
      <w:r>
        <w:t>All invariant metrics pass sanity checks.</w:t>
      </w:r>
    </w:p>
    <w:p w:rsidR="00051F47" w:rsidRPr="00EE366A" w:rsidRDefault="009C4DCE" w:rsidP="005F57F9">
      <w:pPr>
        <w:pStyle w:val="Heading2"/>
        <w:spacing w:after="240" w:line="360" w:lineRule="auto"/>
        <w:contextualSpacing w:val="0"/>
        <w:rPr>
          <w:sz w:val="28"/>
        </w:rPr>
      </w:pPr>
      <w:bookmarkStart w:id="9" w:name="h.p5issp8oaf4a" w:colFirst="0" w:colLast="0"/>
      <w:bookmarkEnd w:id="9"/>
      <w:r w:rsidRPr="00EE366A">
        <w:rPr>
          <w:sz w:val="28"/>
        </w:rPr>
        <w:lastRenderedPageBreak/>
        <w:t>Result Analysis</w:t>
      </w:r>
    </w:p>
    <w:p w:rsidR="00051F47" w:rsidRDefault="009C4DCE" w:rsidP="005F57F9">
      <w:pPr>
        <w:pStyle w:val="Heading3"/>
        <w:spacing w:after="240" w:line="360" w:lineRule="auto"/>
        <w:contextualSpacing w:val="0"/>
      </w:pPr>
      <w:bookmarkStart w:id="10" w:name="h.52n1ah20cmce" w:colFirst="0" w:colLast="0"/>
      <w:bookmarkEnd w:id="10"/>
      <w:r>
        <w:t>Effect Size Tests</w:t>
      </w:r>
    </w:p>
    <w:p w:rsidR="00D91BA5" w:rsidRPr="005F57F9" w:rsidRDefault="00D91BA5" w:rsidP="005F57F9">
      <w:pPr>
        <w:spacing w:after="240" w:line="360" w:lineRule="auto"/>
      </w:pPr>
      <w:r w:rsidRPr="00D91BA5">
        <w:t>Gross Conversion</w:t>
      </w:r>
      <w:r w:rsidR="005F57F9">
        <w:t>:</w:t>
      </w:r>
    </w:p>
    <w:tbl>
      <w:tblPr>
        <w:tblStyle w:val="TableGrid"/>
        <w:tblW w:w="0" w:type="auto"/>
        <w:jc w:val="center"/>
        <w:tblLook w:val="04A0" w:firstRow="1" w:lastRow="0" w:firstColumn="1" w:lastColumn="0" w:noHBand="0" w:noVBand="1"/>
      </w:tblPr>
      <w:tblGrid>
        <w:gridCol w:w="2860"/>
        <w:gridCol w:w="1905"/>
        <w:gridCol w:w="1890"/>
      </w:tblGrid>
      <w:tr w:rsidR="00D91BA5" w:rsidRPr="00D91BA5" w:rsidTr="00D91BA5">
        <w:trPr>
          <w:trHeight w:val="304"/>
          <w:jc w:val="center"/>
        </w:trPr>
        <w:tc>
          <w:tcPr>
            <w:tcW w:w="2860" w:type="dxa"/>
            <w:noWrap/>
            <w:vAlign w:val="center"/>
            <w:hideMark/>
          </w:tcPr>
          <w:p w:rsidR="00D91BA5" w:rsidRPr="00D91BA5" w:rsidRDefault="00D91BA5" w:rsidP="00D91BA5"/>
        </w:tc>
        <w:tc>
          <w:tcPr>
            <w:tcW w:w="1905" w:type="dxa"/>
            <w:noWrap/>
            <w:vAlign w:val="center"/>
            <w:hideMark/>
          </w:tcPr>
          <w:p w:rsidR="00D91BA5" w:rsidRPr="00D91BA5" w:rsidRDefault="00D91BA5" w:rsidP="00D91BA5">
            <w:pPr>
              <w:jc w:val="center"/>
              <w:rPr>
                <w:b/>
              </w:rPr>
            </w:pPr>
            <w:r w:rsidRPr="00D91BA5">
              <w:rPr>
                <w:b/>
              </w:rPr>
              <w:t>Control</w:t>
            </w:r>
          </w:p>
        </w:tc>
        <w:tc>
          <w:tcPr>
            <w:tcW w:w="1890" w:type="dxa"/>
            <w:noWrap/>
            <w:vAlign w:val="center"/>
            <w:hideMark/>
          </w:tcPr>
          <w:p w:rsidR="00D91BA5" w:rsidRPr="00D91BA5" w:rsidRDefault="00D91BA5" w:rsidP="00D91BA5">
            <w:pPr>
              <w:jc w:val="center"/>
              <w:rPr>
                <w:b/>
              </w:rPr>
            </w:pPr>
            <w:r w:rsidRPr="00D91BA5">
              <w:rPr>
                <w:b/>
              </w:rPr>
              <w:t>Experiment</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Pr>
                <w:i/>
              </w:rPr>
              <w:t>e</w:t>
            </w:r>
            <w:r w:rsidRPr="00D91BA5">
              <w:rPr>
                <w:i/>
              </w:rPr>
              <w:t>nrollments</w:t>
            </w:r>
            <w:r>
              <w:rPr>
                <w:i/>
              </w:rPr>
              <w:t xml:space="preserve"> </w:t>
            </w:r>
            <w:r w:rsidRPr="00D91BA5">
              <w:rPr>
                <w:i/>
              </w:rPr>
              <w:t>/</w:t>
            </w:r>
            <w:r>
              <w:rPr>
                <w:i/>
              </w:rPr>
              <w:t xml:space="preserve"> </w:t>
            </w:r>
            <w:r w:rsidRPr="00D91BA5">
              <w:rPr>
                <w:i/>
              </w:rPr>
              <w:t>clicks</w:t>
            </w:r>
          </w:p>
        </w:tc>
        <w:tc>
          <w:tcPr>
            <w:tcW w:w="1905" w:type="dxa"/>
            <w:noWrap/>
            <w:vAlign w:val="center"/>
            <w:hideMark/>
          </w:tcPr>
          <w:p w:rsidR="00D91BA5" w:rsidRPr="00D91BA5" w:rsidRDefault="00D91BA5" w:rsidP="00D91BA5">
            <w:pPr>
              <w:jc w:val="center"/>
            </w:pPr>
            <w:r w:rsidRPr="00D91BA5">
              <w:t>0.2189</w:t>
            </w:r>
          </w:p>
        </w:tc>
        <w:tc>
          <w:tcPr>
            <w:tcW w:w="1890" w:type="dxa"/>
            <w:noWrap/>
            <w:vAlign w:val="center"/>
            <w:hideMark/>
          </w:tcPr>
          <w:p w:rsidR="00D91BA5" w:rsidRPr="00D91BA5" w:rsidRDefault="00D91BA5" w:rsidP="00D91BA5">
            <w:pPr>
              <w:jc w:val="center"/>
            </w:pPr>
            <w:r w:rsidRPr="00D91BA5">
              <w:t>0.1983</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proofErr w:type="spellStart"/>
            <w:r w:rsidRPr="00D91BA5">
              <w:rPr>
                <w:i/>
              </w:rPr>
              <w:t>d</w:t>
            </w:r>
            <w:r w:rsidRPr="00D91BA5">
              <w:rPr>
                <w:i/>
                <w:vertAlign w:val="subscript"/>
              </w:rPr>
              <w:t>min</w:t>
            </w:r>
            <w:proofErr w:type="spellEnd"/>
          </w:p>
        </w:tc>
        <w:tc>
          <w:tcPr>
            <w:tcW w:w="3795" w:type="dxa"/>
            <w:gridSpan w:val="2"/>
            <w:noWrap/>
            <w:vAlign w:val="center"/>
            <w:hideMark/>
          </w:tcPr>
          <w:p w:rsidR="00D91BA5" w:rsidRPr="00D91BA5" w:rsidRDefault="000706E0" w:rsidP="00D91BA5">
            <w:pPr>
              <w:jc w:val="center"/>
            </w:pPr>
            <w:r>
              <w:t>(</w:t>
            </w:r>
            <w:r w:rsidR="00D91BA5">
              <w:t>-</w:t>
            </w:r>
            <w:r>
              <w:t>)</w:t>
            </w:r>
            <w:r w:rsidR="00D91BA5" w:rsidRPr="00D91BA5">
              <w:t>0.01</w:t>
            </w:r>
          </w:p>
        </w:tc>
      </w:tr>
      <w:tr w:rsidR="00D91BA5" w:rsidRPr="00D91BA5" w:rsidTr="00D91BA5">
        <w:trPr>
          <w:trHeight w:val="304"/>
          <w:jc w:val="center"/>
        </w:trPr>
        <w:tc>
          <w:tcPr>
            <w:tcW w:w="2860" w:type="dxa"/>
            <w:noWrap/>
            <w:vAlign w:val="center"/>
            <w:hideMark/>
          </w:tcPr>
          <w:p w:rsidR="00D91BA5" w:rsidRPr="005F57F9" w:rsidRDefault="00D91BA5" w:rsidP="00D91BA5">
            <w:pPr>
              <w:rPr>
                <w:b/>
                <w:i/>
              </w:rPr>
            </w:pPr>
            <w:r w:rsidRPr="005F57F9">
              <w:rPr>
                <w:b/>
                <w:i/>
              </w:rPr>
              <w:t>observed difference</w:t>
            </w:r>
          </w:p>
        </w:tc>
        <w:tc>
          <w:tcPr>
            <w:tcW w:w="3795" w:type="dxa"/>
            <w:gridSpan w:val="2"/>
            <w:noWrap/>
            <w:vAlign w:val="center"/>
            <w:hideMark/>
          </w:tcPr>
          <w:p w:rsidR="00D91BA5" w:rsidRPr="005F57F9" w:rsidRDefault="00D91BA5" w:rsidP="00D91BA5">
            <w:pPr>
              <w:jc w:val="center"/>
              <w:rPr>
                <w:b/>
              </w:rPr>
            </w:pPr>
            <w:r w:rsidRPr="005F57F9">
              <w:rPr>
                <w:b/>
              </w:rPr>
              <w:t>-0.0206</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sidRPr="00D91BA5">
              <w:rPr>
                <w:i/>
              </w:rPr>
              <w:t>variance</w:t>
            </w:r>
          </w:p>
        </w:tc>
        <w:tc>
          <w:tcPr>
            <w:tcW w:w="1905" w:type="dxa"/>
            <w:noWrap/>
            <w:vAlign w:val="center"/>
            <w:hideMark/>
          </w:tcPr>
          <w:p w:rsidR="00D91BA5" w:rsidRPr="00D91BA5" w:rsidRDefault="00D91BA5" w:rsidP="00D91BA5">
            <w:pPr>
              <w:jc w:val="center"/>
            </w:pPr>
            <w:r w:rsidRPr="00D91BA5">
              <w:t>9.88658E-06</w:t>
            </w:r>
          </w:p>
        </w:tc>
        <w:tc>
          <w:tcPr>
            <w:tcW w:w="1890" w:type="dxa"/>
            <w:noWrap/>
            <w:vAlign w:val="center"/>
            <w:hideMark/>
          </w:tcPr>
          <w:p w:rsidR="00D91BA5" w:rsidRPr="00D91BA5" w:rsidRDefault="00D91BA5" w:rsidP="00D91BA5">
            <w:pPr>
              <w:jc w:val="center"/>
            </w:pPr>
            <w:r w:rsidRPr="00D91BA5">
              <w:t>9.21142E-06</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sidRPr="00D91BA5">
              <w:rPr>
                <w:i/>
              </w:rPr>
              <w:t>standard deviation, SE</w:t>
            </w:r>
          </w:p>
        </w:tc>
        <w:tc>
          <w:tcPr>
            <w:tcW w:w="3795" w:type="dxa"/>
            <w:gridSpan w:val="2"/>
            <w:noWrap/>
            <w:vAlign w:val="center"/>
            <w:hideMark/>
          </w:tcPr>
          <w:p w:rsidR="00D91BA5" w:rsidRPr="00D91BA5" w:rsidRDefault="00D91BA5" w:rsidP="00D91BA5">
            <w:pPr>
              <w:jc w:val="center"/>
            </w:pPr>
            <w:r w:rsidRPr="00D91BA5">
              <w:t>0.0044</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sidRPr="00D91BA5">
              <w:rPr>
                <w:i/>
              </w:rPr>
              <w:t>z-score (95% CI)</w:t>
            </w:r>
          </w:p>
        </w:tc>
        <w:tc>
          <w:tcPr>
            <w:tcW w:w="3795" w:type="dxa"/>
            <w:gridSpan w:val="2"/>
            <w:noWrap/>
            <w:vAlign w:val="center"/>
            <w:hideMark/>
          </w:tcPr>
          <w:p w:rsidR="00D91BA5" w:rsidRPr="00D91BA5" w:rsidRDefault="00D91BA5" w:rsidP="00D91BA5">
            <w:pPr>
              <w:jc w:val="center"/>
            </w:pPr>
            <w:r w:rsidRPr="00D91BA5">
              <w:t>1.96</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sidRPr="00D91BA5">
              <w:rPr>
                <w:i/>
              </w:rPr>
              <w:t>margin of error, z*SE</w:t>
            </w:r>
          </w:p>
        </w:tc>
        <w:tc>
          <w:tcPr>
            <w:tcW w:w="3795" w:type="dxa"/>
            <w:gridSpan w:val="2"/>
            <w:noWrap/>
            <w:vAlign w:val="center"/>
            <w:hideMark/>
          </w:tcPr>
          <w:p w:rsidR="00D91BA5" w:rsidRPr="00D91BA5" w:rsidRDefault="00D91BA5" w:rsidP="00D91BA5">
            <w:pPr>
              <w:jc w:val="center"/>
            </w:pPr>
            <w:r w:rsidRPr="00D91BA5">
              <w:t>0.0086</w:t>
            </w:r>
          </w:p>
        </w:tc>
      </w:tr>
      <w:tr w:rsidR="00D91BA5" w:rsidRPr="00D91BA5" w:rsidTr="00D91BA5">
        <w:trPr>
          <w:trHeight w:val="304"/>
          <w:jc w:val="center"/>
        </w:trPr>
        <w:tc>
          <w:tcPr>
            <w:tcW w:w="2860" w:type="dxa"/>
            <w:noWrap/>
            <w:vAlign w:val="center"/>
            <w:hideMark/>
          </w:tcPr>
          <w:p w:rsidR="00D91BA5" w:rsidRPr="005F57F9" w:rsidRDefault="005F57F9" w:rsidP="00D91BA5">
            <w:pPr>
              <w:rPr>
                <w:b/>
                <w:i/>
              </w:rPr>
            </w:pPr>
            <w:r>
              <w:rPr>
                <w:b/>
              </w:rPr>
              <w:t>95% confidence interval</w:t>
            </w:r>
          </w:p>
        </w:tc>
        <w:tc>
          <w:tcPr>
            <w:tcW w:w="3795" w:type="dxa"/>
            <w:gridSpan w:val="2"/>
            <w:noWrap/>
            <w:vAlign w:val="center"/>
            <w:hideMark/>
          </w:tcPr>
          <w:p w:rsidR="00D91BA5" w:rsidRPr="005F57F9" w:rsidRDefault="005F57F9" w:rsidP="00D91BA5">
            <w:pPr>
              <w:jc w:val="center"/>
              <w:rPr>
                <w:b/>
              </w:rPr>
            </w:pPr>
            <w:r>
              <w:rPr>
                <w:b/>
              </w:rPr>
              <w:t>(</w:t>
            </w:r>
            <w:r w:rsidR="00D91BA5" w:rsidRPr="005F57F9">
              <w:rPr>
                <w:b/>
              </w:rPr>
              <w:t>-0.0291</w:t>
            </w:r>
            <w:r>
              <w:rPr>
                <w:b/>
              </w:rPr>
              <w:t xml:space="preserve">, </w:t>
            </w:r>
            <w:r w:rsidRPr="005F57F9">
              <w:rPr>
                <w:b/>
              </w:rPr>
              <w:t>-0.0120</w:t>
            </w:r>
            <w:r>
              <w:rPr>
                <w:b/>
              </w:rPr>
              <w:t>)</w:t>
            </w:r>
          </w:p>
        </w:tc>
      </w:tr>
      <w:tr w:rsidR="00D91BA5" w:rsidRPr="00D91BA5" w:rsidTr="00D91BA5">
        <w:trPr>
          <w:trHeight w:val="304"/>
          <w:jc w:val="center"/>
        </w:trPr>
        <w:tc>
          <w:tcPr>
            <w:tcW w:w="2860" w:type="dxa"/>
            <w:noWrap/>
            <w:vAlign w:val="center"/>
            <w:hideMark/>
          </w:tcPr>
          <w:p w:rsidR="00D91BA5" w:rsidRPr="005F57F9" w:rsidRDefault="00D91BA5" w:rsidP="00D91BA5">
            <w:pPr>
              <w:rPr>
                <w:b/>
                <w:i/>
              </w:rPr>
            </w:pPr>
            <w:r w:rsidRPr="005F57F9">
              <w:rPr>
                <w:b/>
                <w:i/>
              </w:rPr>
              <w:t>statistically significant?</w:t>
            </w:r>
          </w:p>
        </w:tc>
        <w:tc>
          <w:tcPr>
            <w:tcW w:w="3795" w:type="dxa"/>
            <w:gridSpan w:val="2"/>
            <w:noWrap/>
            <w:vAlign w:val="center"/>
            <w:hideMark/>
          </w:tcPr>
          <w:p w:rsidR="00D91BA5" w:rsidRPr="005F57F9" w:rsidRDefault="00D91BA5" w:rsidP="00D91BA5">
            <w:pPr>
              <w:jc w:val="center"/>
              <w:rPr>
                <w:b/>
              </w:rPr>
            </w:pPr>
            <w:r w:rsidRPr="005F57F9">
              <w:rPr>
                <w:b/>
              </w:rPr>
              <w:t>Yes, CI does not contain zero</w:t>
            </w:r>
          </w:p>
        </w:tc>
      </w:tr>
      <w:tr w:rsidR="00D91BA5" w:rsidRPr="00D91BA5" w:rsidTr="00D91BA5">
        <w:trPr>
          <w:trHeight w:val="304"/>
          <w:jc w:val="center"/>
        </w:trPr>
        <w:tc>
          <w:tcPr>
            <w:tcW w:w="2860" w:type="dxa"/>
            <w:noWrap/>
            <w:vAlign w:val="center"/>
            <w:hideMark/>
          </w:tcPr>
          <w:p w:rsidR="00D91BA5" w:rsidRPr="005F57F9" w:rsidRDefault="00D91BA5" w:rsidP="00D91BA5">
            <w:pPr>
              <w:rPr>
                <w:b/>
                <w:i/>
              </w:rPr>
            </w:pPr>
            <w:r w:rsidRPr="005F57F9">
              <w:rPr>
                <w:b/>
                <w:i/>
              </w:rPr>
              <w:t>practically significant?</w:t>
            </w:r>
          </w:p>
        </w:tc>
        <w:tc>
          <w:tcPr>
            <w:tcW w:w="3795" w:type="dxa"/>
            <w:gridSpan w:val="2"/>
            <w:noWrap/>
            <w:vAlign w:val="center"/>
            <w:hideMark/>
          </w:tcPr>
          <w:p w:rsidR="00D91BA5" w:rsidRPr="005F57F9" w:rsidRDefault="00D91BA5" w:rsidP="00D91BA5">
            <w:pPr>
              <w:jc w:val="center"/>
              <w:rPr>
                <w:b/>
              </w:rPr>
            </w:pPr>
            <w:r w:rsidRPr="005F57F9">
              <w:rPr>
                <w:b/>
              </w:rPr>
              <w:t xml:space="preserve">Yes, CI does not contain </w:t>
            </w:r>
            <w:proofErr w:type="spellStart"/>
            <w:r w:rsidRPr="005F57F9">
              <w:rPr>
                <w:b/>
              </w:rPr>
              <w:t>d</w:t>
            </w:r>
            <w:r w:rsidRPr="005F57F9">
              <w:rPr>
                <w:b/>
                <w:vertAlign w:val="subscript"/>
              </w:rPr>
              <w:t>min</w:t>
            </w:r>
            <w:proofErr w:type="spellEnd"/>
          </w:p>
        </w:tc>
      </w:tr>
    </w:tbl>
    <w:p w:rsidR="00D91BA5" w:rsidRDefault="00D91BA5"/>
    <w:p w:rsidR="00D91BA5" w:rsidRDefault="00D91BA5" w:rsidP="005F57F9">
      <w:pPr>
        <w:spacing w:after="240"/>
      </w:pPr>
      <w:r>
        <w:t>Net conversion:</w:t>
      </w:r>
    </w:p>
    <w:tbl>
      <w:tblPr>
        <w:tblStyle w:val="TableGrid"/>
        <w:tblW w:w="0" w:type="auto"/>
        <w:jc w:val="center"/>
        <w:tblLook w:val="04A0" w:firstRow="1" w:lastRow="0" w:firstColumn="1" w:lastColumn="0" w:noHBand="0" w:noVBand="1"/>
      </w:tblPr>
      <w:tblGrid>
        <w:gridCol w:w="2860"/>
        <w:gridCol w:w="1905"/>
        <w:gridCol w:w="1890"/>
      </w:tblGrid>
      <w:tr w:rsidR="00D91BA5" w:rsidRPr="00D91BA5" w:rsidTr="005D71EF">
        <w:trPr>
          <w:trHeight w:val="304"/>
          <w:jc w:val="center"/>
        </w:trPr>
        <w:tc>
          <w:tcPr>
            <w:tcW w:w="2860" w:type="dxa"/>
            <w:noWrap/>
            <w:vAlign w:val="center"/>
            <w:hideMark/>
          </w:tcPr>
          <w:p w:rsidR="00D91BA5" w:rsidRPr="00D91BA5" w:rsidRDefault="00D91BA5" w:rsidP="005D71EF"/>
        </w:tc>
        <w:tc>
          <w:tcPr>
            <w:tcW w:w="1905" w:type="dxa"/>
            <w:noWrap/>
            <w:vAlign w:val="center"/>
            <w:hideMark/>
          </w:tcPr>
          <w:p w:rsidR="00D91BA5" w:rsidRPr="00D91BA5" w:rsidRDefault="00D91BA5" w:rsidP="005D71EF">
            <w:pPr>
              <w:jc w:val="center"/>
              <w:rPr>
                <w:b/>
              </w:rPr>
            </w:pPr>
            <w:r w:rsidRPr="00D91BA5">
              <w:rPr>
                <w:b/>
              </w:rPr>
              <w:t>Control</w:t>
            </w:r>
          </w:p>
        </w:tc>
        <w:tc>
          <w:tcPr>
            <w:tcW w:w="1890" w:type="dxa"/>
            <w:noWrap/>
            <w:vAlign w:val="center"/>
            <w:hideMark/>
          </w:tcPr>
          <w:p w:rsidR="00D91BA5" w:rsidRPr="00D91BA5" w:rsidRDefault="00D91BA5" w:rsidP="005D71EF">
            <w:pPr>
              <w:jc w:val="center"/>
              <w:rPr>
                <w:b/>
              </w:rPr>
            </w:pPr>
            <w:r w:rsidRPr="00D91BA5">
              <w:rPr>
                <w:b/>
              </w:rPr>
              <w:t>Experiment</w:t>
            </w:r>
          </w:p>
        </w:tc>
      </w:tr>
      <w:tr w:rsidR="00D91BA5" w:rsidRPr="00D91BA5" w:rsidTr="00B64C06">
        <w:trPr>
          <w:trHeight w:val="304"/>
          <w:jc w:val="center"/>
        </w:trPr>
        <w:tc>
          <w:tcPr>
            <w:tcW w:w="2860" w:type="dxa"/>
            <w:noWrap/>
            <w:vAlign w:val="center"/>
            <w:hideMark/>
          </w:tcPr>
          <w:p w:rsidR="00D91BA5" w:rsidRPr="00D91BA5" w:rsidRDefault="00BD24A3" w:rsidP="00D91BA5">
            <w:pPr>
              <w:rPr>
                <w:i/>
              </w:rPr>
            </w:pPr>
            <w:r>
              <w:rPr>
                <w:i/>
              </w:rPr>
              <w:t>payments</w:t>
            </w:r>
            <w:r w:rsidR="00D91BA5">
              <w:rPr>
                <w:i/>
              </w:rPr>
              <w:t xml:space="preserve"> </w:t>
            </w:r>
            <w:r w:rsidR="00D91BA5" w:rsidRPr="00D91BA5">
              <w:rPr>
                <w:i/>
              </w:rPr>
              <w:t>/</w:t>
            </w:r>
            <w:r w:rsidR="00D91BA5">
              <w:rPr>
                <w:i/>
              </w:rPr>
              <w:t xml:space="preserve"> </w:t>
            </w:r>
            <w:r w:rsidR="00D91BA5" w:rsidRPr="00D91BA5">
              <w:rPr>
                <w:i/>
              </w:rPr>
              <w:t>clicks</w:t>
            </w:r>
          </w:p>
        </w:tc>
        <w:tc>
          <w:tcPr>
            <w:tcW w:w="1905" w:type="dxa"/>
            <w:noWrap/>
            <w:vAlign w:val="bottom"/>
          </w:tcPr>
          <w:p w:rsidR="00D91BA5" w:rsidRPr="005F57F9" w:rsidRDefault="00D91BA5" w:rsidP="00D91BA5">
            <w:pPr>
              <w:jc w:val="center"/>
            </w:pPr>
            <w:r w:rsidRPr="005F57F9">
              <w:t>0.1176</w:t>
            </w:r>
          </w:p>
        </w:tc>
        <w:tc>
          <w:tcPr>
            <w:tcW w:w="1890" w:type="dxa"/>
            <w:noWrap/>
            <w:vAlign w:val="center"/>
          </w:tcPr>
          <w:p w:rsidR="00D91BA5" w:rsidRPr="005F57F9" w:rsidRDefault="00D91BA5" w:rsidP="00D91BA5">
            <w:pPr>
              <w:jc w:val="center"/>
            </w:pPr>
            <w:r w:rsidRPr="005F57F9">
              <w:t>0.1127</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proofErr w:type="spellStart"/>
            <w:r w:rsidRPr="00D91BA5">
              <w:rPr>
                <w:i/>
              </w:rPr>
              <w:t>d</w:t>
            </w:r>
            <w:r w:rsidRPr="00D91BA5">
              <w:rPr>
                <w:i/>
                <w:vertAlign w:val="subscript"/>
              </w:rPr>
              <w:t>min</w:t>
            </w:r>
            <w:proofErr w:type="spellEnd"/>
          </w:p>
        </w:tc>
        <w:tc>
          <w:tcPr>
            <w:tcW w:w="3795" w:type="dxa"/>
            <w:gridSpan w:val="2"/>
            <w:noWrap/>
            <w:vAlign w:val="center"/>
          </w:tcPr>
          <w:p w:rsidR="00D91BA5" w:rsidRPr="005F57F9" w:rsidRDefault="000706E0" w:rsidP="00D91BA5">
            <w:pPr>
              <w:jc w:val="center"/>
            </w:pPr>
            <w:r>
              <w:t>(</w:t>
            </w:r>
            <w:r w:rsidR="00D91BA5" w:rsidRPr="005F57F9">
              <w:t>-</w:t>
            </w:r>
            <w:r>
              <w:t>)</w:t>
            </w:r>
            <w:r w:rsidR="00D91BA5" w:rsidRPr="005F57F9">
              <w:t>0.0075</w:t>
            </w:r>
          </w:p>
        </w:tc>
      </w:tr>
      <w:tr w:rsidR="00D91BA5" w:rsidRPr="00D91BA5" w:rsidTr="00D91BA5">
        <w:trPr>
          <w:trHeight w:val="304"/>
          <w:jc w:val="center"/>
        </w:trPr>
        <w:tc>
          <w:tcPr>
            <w:tcW w:w="2860" w:type="dxa"/>
            <w:noWrap/>
            <w:vAlign w:val="center"/>
            <w:hideMark/>
          </w:tcPr>
          <w:p w:rsidR="00D91BA5" w:rsidRPr="005F57F9" w:rsidRDefault="00D91BA5" w:rsidP="00D91BA5">
            <w:pPr>
              <w:rPr>
                <w:b/>
                <w:i/>
              </w:rPr>
            </w:pPr>
            <w:r w:rsidRPr="005F57F9">
              <w:rPr>
                <w:b/>
                <w:i/>
              </w:rPr>
              <w:t>observed difference</w:t>
            </w:r>
          </w:p>
        </w:tc>
        <w:tc>
          <w:tcPr>
            <w:tcW w:w="3795" w:type="dxa"/>
            <w:gridSpan w:val="2"/>
            <w:noWrap/>
            <w:vAlign w:val="center"/>
          </w:tcPr>
          <w:p w:rsidR="00D91BA5" w:rsidRPr="005F57F9" w:rsidRDefault="00D91BA5" w:rsidP="00D91BA5">
            <w:pPr>
              <w:jc w:val="center"/>
              <w:rPr>
                <w:b/>
              </w:rPr>
            </w:pPr>
            <w:r w:rsidRPr="005F57F9">
              <w:rPr>
                <w:b/>
              </w:rPr>
              <w:t>-0.0049</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sidRPr="00D91BA5">
              <w:rPr>
                <w:i/>
              </w:rPr>
              <w:t>variance</w:t>
            </w:r>
          </w:p>
        </w:tc>
        <w:tc>
          <w:tcPr>
            <w:tcW w:w="1905" w:type="dxa"/>
            <w:noWrap/>
            <w:vAlign w:val="center"/>
          </w:tcPr>
          <w:p w:rsidR="00D91BA5" w:rsidRPr="005F57F9" w:rsidRDefault="00D91BA5" w:rsidP="00D91BA5">
            <w:pPr>
              <w:jc w:val="center"/>
            </w:pPr>
            <w:r w:rsidRPr="005F57F9">
              <w:t>5.99903E-06</w:t>
            </w:r>
          </w:p>
        </w:tc>
        <w:tc>
          <w:tcPr>
            <w:tcW w:w="1890" w:type="dxa"/>
            <w:noWrap/>
            <w:vAlign w:val="center"/>
          </w:tcPr>
          <w:p w:rsidR="00D91BA5" w:rsidRPr="005F57F9" w:rsidRDefault="00D91BA5" w:rsidP="00D91BA5">
            <w:pPr>
              <w:jc w:val="center"/>
            </w:pPr>
            <w:r w:rsidRPr="005F57F9">
              <w:t>5.79314E-06</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sidRPr="00D91BA5">
              <w:rPr>
                <w:i/>
              </w:rPr>
              <w:t>standard deviation, SE</w:t>
            </w:r>
          </w:p>
        </w:tc>
        <w:tc>
          <w:tcPr>
            <w:tcW w:w="3795" w:type="dxa"/>
            <w:gridSpan w:val="2"/>
            <w:noWrap/>
            <w:vAlign w:val="center"/>
          </w:tcPr>
          <w:p w:rsidR="00D91BA5" w:rsidRPr="005F57F9" w:rsidRDefault="00D91BA5" w:rsidP="00D91BA5">
            <w:pPr>
              <w:jc w:val="center"/>
            </w:pPr>
            <w:r w:rsidRPr="005F57F9">
              <w:t>0.0034</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sidRPr="00D91BA5">
              <w:rPr>
                <w:i/>
              </w:rPr>
              <w:t>z-score (95% CI)</w:t>
            </w:r>
          </w:p>
        </w:tc>
        <w:tc>
          <w:tcPr>
            <w:tcW w:w="3795" w:type="dxa"/>
            <w:gridSpan w:val="2"/>
            <w:noWrap/>
            <w:vAlign w:val="center"/>
          </w:tcPr>
          <w:p w:rsidR="00D91BA5" w:rsidRPr="005F57F9" w:rsidRDefault="00D91BA5" w:rsidP="00D91BA5">
            <w:pPr>
              <w:jc w:val="center"/>
            </w:pPr>
            <w:r w:rsidRPr="005F57F9">
              <w:t>1.96</w:t>
            </w:r>
          </w:p>
        </w:tc>
      </w:tr>
      <w:tr w:rsidR="00D91BA5" w:rsidRPr="00D91BA5" w:rsidTr="00D91BA5">
        <w:trPr>
          <w:trHeight w:val="304"/>
          <w:jc w:val="center"/>
        </w:trPr>
        <w:tc>
          <w:tcPr>
            <w:tcW w:w="2860" w:type="dxa"/>
            <w:noWrap/>
            <w:vAlign w:val="center"/>
            <w:hideMark/>
          </w:tcPr>
          <w:p w:rsidR="00D91BA5" w:rsidRPr="00D91BA5" w:rsidRDefault="00D91BA5" w:rsidP="00D91BA5">
            <w:pPr>
              <w:rPr>
                <w:i/>
              </w:rPr>
            </w:pPr>
            <w:r w:rsidRPr="00D91BA5">
              <w:rPr>
                <w:i/>
              </w:rPr>
              <w:t>margin of error, z*SE</w:t>
            </w:r>
          </w:p>
        </w:tc>
        <w:tc>
          <w:tcPr>
            <w:tcW w:w="3795" w:type="dxa"/>
            <w:gridSpan w:val="2"/>
            <w:noWrap/>
            <w:vAlign w:val="center"/>
          </w:tcPr>
          <w:p w:rsidR="00D91BA5" w:rsidRPr="005F57F9" w:rsidRDefault="00D91BA5" w:rsidP="00D91BA5">
            <w:pPr>
              <w:jc w:val="center"/>
            </w:pPr>
            <w:r w:rsidRPr="005F57F9">
              <w:t>0.0067</w:t>
            </w:r>
          </w:p>
        </w:tc>
      </w:tr>
      <w:tr w:rsidR="00D91BA5" w:rsidRPr="00D91BA5" w:rsidTr="00D91BA5">
        <w:trPr>
          <w:trHeight w:val="304"/>
          <w:jc w:val="center"/>
        </w:trPr>
        <w:tc>
          <w:tcPr>
            <w:tcW w:w="2860" w:type="dxa"/>
            <w:noWrap/>
            <w:vAlign w:val="center"/>
            <w:hideMark/>
          </w:tcPr>
          <w:p w:rsidR="00D91BA5" w:rsidRPr="005F57F9" w:rsidRDefault="005F57F9" w:rsidP="00D91BA5">
            <w:pPr>
              <w:rPr>
                <w:b/>
                <w:i/>
              </w:rPr>
            </w:pPr>
            <w:r>
              <w:rPr>
                <w:b/>
              </w:rPr>
              <w:t>95% confidence interval</w:t>
            </w:r>
          </w:p>
        </w:tc>
        <w:tc>
          <w:tcPr>
            <w:tcW w:w="3795" w:type="dxa"/>
            <w:gridSpan w:val="2"/>
            <w:noWrap/>
            <w:vAlign w:val="center"/>
          </w:tcPr>
          <w:p w:rsidR="00D91BA5" w:rsidRPr="005F57F9" w:rsidRDefault="005F57F9" w:rsidP="00D91BA5">
            <w:pPr>
              <w:jc w:val="center"/>
              <w:rPr>
                <w:b/>
              </w:rPr>
            </w:pPr>
            <w:r>
              <w:rPr>
                <w:b/>
              </w:rPr>
              <w:t>(</w:t>
            </w:r>
            <w:r w:rsidR="00D91BA5" w:rsidRPr="005F57F9">
              <w:rPr>
                <w:b/>
              </w:rPr>
              <w:t>-0.0116</w:t>
            </w:r>
            <w:r>
              <w:rPr>
                <w:b/>
              </w:rPr>
              <w:t xml:space="preserve">, </w:t>
            </w:r>
            <w:r w:rsidRPr="005F57F9">
              <w:rPr>
                <w:b/>
              </w:rPr>
              <w:t>0.0019</w:t>
            </w:r>
            <w:r>
              <w:rPr>
                <w:b/>
              </w:rPr>
              <w:t>)</w:t>
            </w:r>
          </w:p>
        </w:tc>
      </w:tr>
      <w:tr w:rsidR="00D91BA5" w:rsidRPr="00D91BA5" w:rsidTr="00D91BA5">
        <w:trPr>
          <w:trHeight w:val="304"/>
          <w:jc w:val="center"/>
        </w:trPr>
        <w:tc>
          <w:tcPr>
            <w:tcW w:w="2860" w:type="dxa"/>
            <w:noWrap/>
            <w:vAlign w:val="center"/>
            <w:hideMark/>
          </w:tcPr>
          <w:p w:rsidR="00D91BA5" w:rsidRPr="005F57F9" w:rsidRDefault="00D91BA5" w:rsidP="00D91BA5">
            <w:pPr>
              <w:rPr>
                <w:b/>
                <w:i/>
              </w:rPr>
            </w:pPr>
            <w:r w:rsidRPr="005F57F9">
              <w:rPr>
                <w:b/>
                <w:i/>
              </w:rPr>
              <w:t>statistically significant?</w:t>
            </w:r>
          </w:p>
        </w:tc>
        <w:tc>
          <w:tcPr>
            <w:tcW w:w="3795" w:type="dxa"/>
            <w:gridSpan w:val="2"/>
            <w:noWrap/>
            <w:vAlign w:val="center"/>
          </w:tcPr>
          <w:p w:rsidR="00D91BA5" w:rsidRPr="005F57F9" w:rsidRDefault="00D91BA5" w:rsidP="00D91BA5">
            <w:pPr>
              <w:jc w:val="center"/>
              <w:rPr>
                <w:b/>
              </w:rPr>
            </w:pPr>
            <w:r w:rsidRPr="005F57F9">
              <w:rPr>
                <w:b/>
              </w:rPr>
              <w:t>No, CI contains zero</w:t>
            </w:r>
          </w:p>
        </w:tc>
      </w:tr>
      <w:tr w:rsidR="00D91BA5" w:rsidRPr="00D91BA5" w:rsidTr="00D91BA5">
        <w:trPr>
          <w:trHeight w:val="304"/>
          <w:jc w:val="center"/>
        </w:trPr>
        <w:tc>
          <w:tcPr>
            <w:tcW w:w="2860" w:type="dxa"/>
            <w:noWrap/>
            <w:vAlign w:val="center"/>
            <w:hideMark/>
          </w:tcPr>
          <w:p w:rsidR="00D91BA5" w:rsidRPr="005F57F9" w:rsidRDefault="00D91BA5" w:rsidP="00D91BA5">
            <w:pPr>
              <w:rPr>
                <w:b/>
                <w:i/>
              </w:rPr>
            </w:pPr>
            <w:r w:rsidRPr="005F57F9">
              <w:rPr>
                <w:b/>
                <w:i/>
              </w:rPr>
              <w:t>practically significant?</w:t>
            </w:r>
          </w:p>
        </w:tc>
        <w:tc>
          <w:tcPr>
            <w:tcW w:w="3795" w:type="dxa"/>
            <w:gridSpan w:val="2"/>
            <w:noWrap/>
            <w:vAlign w:val="center"/>
          </w:tcPr>
          <w:p w:rsidR="00D91BA5" w:rsidRPr="005F57F9" w:rsidRDefault="00D91BA5" w:rsidP="00D91BA5">
            <w:pPr>
              <w:jc w:val="center"/>
              <w:rPr>
                <w:b/>
              </w:rPr>
            </w:pPr>
            <w:r w:rsidRPr="005F57F9">
              <w:rPr>
                <w:b/>
              </w:rPr>
              <w:t xml:space="preserve">No, CI does contain </w:t>
            </w:r>
            <w:r w:rsidR="005C060A">
              <w:rPr>
                <w:b/>
              </w:rPr>
              <w:t>(</w:t>
            </w:r>
            <w:proofErr w:type="gramStart"/>
            <w:r w:rsidR="005C060A">
              <w:rPr>
                <w:b/>
              </w:rPr>
              <w:t>-)</w:t>
            </w:r>
            <w:proofErr w:type="spellStart"/>
            <w:r w:rsidRPr="005F57F9">
              <w:rPr>
                <w:b/>
              </w:rPr>
              <w:t>d</w:t>
            </w:r>
            <w:r w:rsidRPr="005F57F9">
              <w:rPr>
                <w:b/>
                <w:vertAlign w:val="subscript"/>
              </w:rPr>
              <w:t>min</w:t>
            </w:r>
            <w:proofErr w:type="spellEnd"/>
            <w:proofErr w:type="gramEnd"/>
          </w:p>
        </w:tc>
      </w:tr>
    </w:tbl>
    <w:p w:rsidR="00E26750" w:rsidRDefault="00E26750" w:rsidP="00E26750">
      <w:pPr>
        <w:rPr>
          <w:rFonts w:ascii="Roboto" w:eastAsia="Roboto" w:hAnsi="Roboto" w:cs="Roboto"/>
          <w:b/>
          <w:color w:val="666666"/>
          <w:sz w:val="24"/>
          <w:szCs w:val="24"/>
        </w:rPr>
      </w:pPr>
      <w:bookmarkStart w:id="11" w:name="h.clnogzxymvt2" w:colFirst="0" w:colLast="0"/>
      <w:bookmarkEnd w:id="11"/>
    </w:p>
    <w:p w:rsidR="00E26750" w:rsidRPr="00E26750" w:rsidRDefault="00EA38C1" w:rsidP="00E26750">
      <w:pPr>
        <w:spacing w:after="240" w:line="360" w:lineRule="auto"/>
      </w:pPr>
      <w:r>
        <w:t>Effect size tests show g</w:t>
      </w:r>
      <w:r w:rsidR="00E26750" w:rsidRPr="00E26750">
        <w:t>ross</w:t>
      </w:r>
      <w:r w:rsidR="00E26750">
        <w:t xml:space="preserve"> conversion is both statistically and practically significant</w:t>
      </w:r>
      <w:r>
        <w:t xml:space="preserve"> and n</w:t>
      </w:r>
      <w:r w:rsidR="00E26750">
        <w:t>et conversion is neither statistically or practically significant.</w:t>
      </w:r>
    </w:p>
    <w:p w:rsidR="00051F47" w:rsidRDefault="009C4DCE" w:rsidP="00425A99">
      <w:pPr>
        <w:pStyle w:val="Heading3"/>
        <w:spacing w:after="240" w:line="360" w:lineRule="auto"/>
        <w:contextualSpacing w:val="0"/>
      </w:pPr>
      <w:r>
        <w:t>Sign Tests</w:t>
      </w:r>
    </w:p>
    <w:tbl>
      <w:tblPr>
        <w:tblW w:w="8280" w:type="dxa"/>
        <w:jc w:val="center"/>
        <w:tblLook w:val="04A0" w:firstRow="1" w:lastRow="0" w:firstColumn="1" w:lastColumn="0" w:noHBand="0" w:noVBand="1"/>
      </w:tblPr>
      <w:tblGrid>
        <w:gridCol w:w="3780"/>
        <w:gridCol w:w="2340"/>
        <w:gridCol w:w="2160"/>
      </w:tblGrid>
      <w:tr w:rsidR="007126F0" w:rsidRPr="007126F0" w:rsidTr="007126F0">
        <w:trPr>
          <w:trHeight w:val="290"/>
          <w:jc w:val="center"/>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rPr>
                <w:rFonts w:ascii="Calibri" w:eastAsia="Times New Roman" w:hAnsi="Calibri" w:cs="Calibri"/>
              </w:rPr>
            </w:pPr>
            <w:r w:rsidRPr="007126F0">
              <w:rPr>
                <w:rFonts w:ascii="Calibri" w:eastAsia="Times New Roman" w:hAnsi="Calibri" w:cs="Calibri"/>
              </w:rPr>
              <w:t> </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b/>
              </w:rPr>
            </w:pPr>
            <w:r w:rsidRPr="007126F0">
              <w:rPr>
                <w:rFonts w:eastAsia="Times New Roman"/>
                <w:b/>
              </w:rPr>
              <w:t>Gross Conversion</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b/>
              </w:rPr>
            </w:pPr>
            <w:r w:rsidRPr="007126F0">
              <w:rPr>
                <w:rFonts w:eastAsia="Times New Roman"/>
                <w:b/>
              </w:rPr>
              <w:t>Net Conversion</w:t>
            </w:r>
          </w:p>
        </w:tc>
      </w:tr>
      <w:tr w:rsidR="007126F0" w:rsidRPr="007126F0" w:rsidTr="007126F0">
        <w:trPr>
          <w:trHeight w:val="290"/>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rPr>
                <w:rFonts w:eastAsia="Times New Roman"/>
                <w:i/>
              </w:rPr>
            </w:pPr>
            <w:r w:rsidRPr="007126F0">
              <w:rPr>
                <w:rFonts w:eastAsia="Times New Roman"/>
                <w:i/>
              </w:rPr>
              <w:t># successes</w:t>
            </w:r>
          </w:p>
        </w:tc>
        <w:tc>
          <w:tcPr>
            <w:tcW w:w="2340" w:type="dxa"/>
            <w:tcBorders>
              <w:top w:val="nil"/>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rPr>
            </w:pPr>
            <w:r w:rsidRPr="007126F0">
              <w:rPr>
                <w:rFonts w:eastAsia="Times New Roman"/>
              </w:rPr>
              <w:t>4</w:t>
            </w:r>
          </w:p>
        </w:tc>
        <w:tc>
          <w:tcPr>
            <w:tcW w:w="2160" w:type="dxa"/>
            <w:tcBorders>
              <w:top w:val="nil"/>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rPr>
            </w:pPr>
            <w:r w:rsidRPr="007126F0">
              <w:rPr>
                <w:rFonts w:eastAsia="Times New Roman"/>
              </w:rPr>
              <w:t>10</w:t>
            </w:r>
          </w:p>
        </w:tc>
      </w:tr>
      <w:tr w:rsidR="007126F0" w:rsidRPr="007126F0" w:rsidTr="007126F0">
        <w:trPr>
          <w:trHeight w:val="290"/>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rPr>
                <w:rFonts w:eastAsia="Times New Roman"/>
                <w:i/>
              </w:rPr>
            </w:pPr>
            <w:r w:rsidRPr="007126F0">
              <w:rPr>
                <w:rFonts w:eastAsia="Times New Roman"/>
                <w:i/>
              </w:rPr>
              <w:t># trials</w:t>
            </w:r>
          </w:p>
        </w:tc>
        <w:tc>
          <w:tcPr>
            <w:tcW w:w="2340" w:type="dxa"/>
            <w:tcBorders>
              <w:top w:val="nil"/>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rPr>
            </w:pPr>
            <w:r w:rsidRPr="007126F0">
              <w:rPr>
                <w:rFonts w:eastAsia="Times New Roman"/>
              </w:rPr>
              <w:t>23</w:t>
            </w:r>
          </w:p>
        </w:tc>
        <w:tc>
          <w:tcPr>
            <w:tcW w:w="2160" w:type="dxa"/>
            <w:tcBorders>
              <w:top w:val="nil"/>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rPr>
            </w:pPr>
            <w:r w:rsidRPr="007126F0">
              <w:rPr>
                <w:rFonts w:eastAsia="Times New Roman"/>
              </w:rPr>
              <w:t>23</w:t>
            </w:r>
          </w:p>
        </w:tc>
      </w:tr>
      <w:tr w:rsidR="007126F0" w:rsidRPr="007126F0" w:rsidTr="007126F0">
        <w:trPr>
          <w:trHeight w:val="290"/>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rPr>
                <w:rFonts w:eastAsia="Times New Roman"/>
                <w:b/>
                <w:i/>
              </w:rPr>
            </w:pPr>
            <w:r w:rsidRPr="007126F0">
              <w:rPr>
                <w:rFonts w:eastAsia="Times New Roman"/>
                <w:b/>
                <w:i/>
              </w:rPr>
              <w:t>2-tailed p-value</w:t>
            </w:r>
          </w:p>
        </w:tc>
        <w:tc>
          <w:tcPr>
            <w:tcW w:w="2340" w:type="dxa"/>
            <w:tcBorders>
              <w:top w:val="nil"/>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b/>
              </w:rPr>
            </w:pPr>
            <w:r w:rsidRPr="007126F0">
              <w:rPr>
                <w:rFonts w:eastAsia="Times New Roman"/>
                <w:b/>
              </w:rPr>
              <w:t>0.0026</w:t>
            </w:r>
          </w:p>
        </w:tc>
        <w:tc>
          <w:tcPr>
            <w:tcW w:w="2160" w:type="dxa"/>
            <w:tcBorders>
              <w:top w:val="nil"/>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b/>
              </w:rPr>
            </w:pPr>
            <w:r w:rsidRPr="007126F0">
              <w:rPr>
                <w:rFonts w:eastAsia="Times New Roman"/>
                <w:b/>
              </w:rPr>
              <w:t>0.6776</w:t>
            </w:r>
          </w:p>
        </w:tc>
      </w:tr>
      <w:tr w:rsidR="007126F0" w:rsidRPr="007126F0" w:rsidTr="007126F0">
        <w:trPr>
          <w:trHeight w:val="290"/>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rPr>
                <w:rFonts w:eastAsia="Times New Roman"/>
                <w:b/>
                <w:i/>
              </w:rPr>
            </w:pPr>
            <w:r w:rsidRPr="007126F0">
              <w:rPr>
                <w:rFonts w:eastAsia="Times New Roman"/>
                <w:b/>
                <w:i/>
              </w:rPr>
              <w:lastRenderedPageBreak/>
              <w:t xml:space="preserve">statistically significant? </w:t>
            </w:r>
            <w:r w:rsidRPr="007126F0">
              <w:rPr>
                <w:rFonts w:eastAsia="Times New Roman"/>
                <w:i/>
              </w:rPr>
              <w:t>(</w:t>
            </w:r>
            <w:r w:rsidRPr="007126F0">
              <w:rPr>
                <w:rFonts w:ascii="Calibri" w:eastAsia="Times New Roman" w:hAnsi="Calibri" w:cs="Calibri"/>
                <w:i/>
              </w:rPr>
              <w:t>α</w:t>
            </w:r>
            <w:r w:rsidRPr="007126F0">
              <w:rPr>
                <w:rFonts w:eastAsia="Times New Roman"/>
                <w:i/>
                <w:sz w:val="19"/>
                <w:szCs w:val="19"/>
              </w:rPr>
              <w:t xml:space="preserve"> = 0.05)</w:t>
            </w:r>
          </w:p>
        </w:tc>
        <w:tc>
          <w:tcPr>
            <w:tcW w:w="2340" w:type="dxa"/>
            <w:tcBorders>
              <w:top w:val="nil"/>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b/>
              </w:rPr>
            </w:pPr>
            <w:r w:rsidRPr="007126F0">
              <w:rPr>
                <w:rFonts w:eastAsia="Times New Roman"/>
                <w:b/>
              </w:rPr>
              <w:t>Yes</w:t>
            </w:r>
          </w:p>
        </w:tc>
        <w:tc>
          <w:tcPr>
            <w:tcW w:w="2160" w:type="dxa"/>
            <w:tcBorders>
              <w:top w:val="nil"/>
              <w:left w:val="nil"/>
              <w:bottom w:val="single" w:sz="4" w:space="0" w:color="auto"/>
              <w:right w:val="single" w:sz="4" w:space="0" w:color="auto"/>
            </w:tcBorders>
            <w:shd w:val="clear" w:color="auto" w:fill="auto"/>
            <w:noWrap/>
            <w:vAlign w:val="center"/>
            <w:hideMark/>
          </w:tcPr>
          <w:p w:rsidR="007126F0" w:rsidRPr="007126F0" w:rsidRDefault="007126F0" w:rsidP="007126F0">
            <w:pPr>
              <w:spacing w:line="240" w:lineRule="auto"/>
              <w:jc w:val="center"/>
              <w:rPr>
                <w:rFonts w:eastAsia="Times New Roman"/>
                <w:b/>
              </w:rPr>
            </w:pPr>
            <w:r w:rsidRPr="007126F0">
              <w:rPr>
                <w:rFonts w:eastAsia="Times New Roman"/>
                <w:b/>
              </w:rPr>
              <w:t>No</w:t>
            </w:r>
          </w:p>
        </w:tc>
      </w:tr>
    </w:tbl>
    <w:p w:rsidR="00EA38C1" w:rsidRDefault="00EA38C1" w:rsidP="00EA38C1">
      <w:pPr>
        <w:rPr>
          <w:rFonts w:ascii="Roboto" w:eastAsia="Roboto" w:hAnsi="Roboto" w:cs="Roboto"/>
          <w:b/>
          <w:color w:val="666666"/>
          <w:sz w:val="24"/>
          <w:szCs w:val="24"/>
        </w:rPr>
      </w:pPr>
    </w:p>
    <w:p w:rsidR="007126F0" w:rsidRDefault="00EA38C1" w:rsidP="00EA38C1">
      <w:pPr>
        <w:spacing w:after="240" w:line="360" w:lineRule="auto"/>
      </w:pPr>
      <w:r>
        <w:t xml:space="preserve">Sign tests show that gross conversion is statistically significant and net conversion is not statistically significant at α-level 0.05. </w:t>
      </w:r>
    </w:p>
    <w:p w:rsidR="00051F47" w:rsidRDefault="009C4DCE" w:rsidP="00A45738">
      <w:pPr>
        <w:pStyle w:val="Heading3"/>
        <w:spacing w:after="240" w:line="360" w:lineRule="auto"/>
        <w:contextualSpacing w:val="0"/>
      </w:pPr>
      <w:bookmarkStart w:id="12" w:name="h.ea3c918crur0" w:colFirst="0" w:colLast="0"/>
      <w:bookmarkEnd w:id="12"/>
      <w:r>
        <w:t>Summary</w:t>
      </w:r>
    </w:p>
    <w:p w:rsidR="00051F47" w:rsidRDefault="00A45738" w:rsidP="00FC6115">
      <w:pPr>
        <w:spacing w:after="240" w:line="360" w:lineRule="auto"/>
      </w:pPr>
      <w:r>
        <w:t>In this experiment, the control group did not receive a screener prompting them to state a weekly time commitment for the course when they clicked on the “start free trial” button</w:t>
      </w:r>
      <w:r w:rsidR="009C4DCE">
        <w:t>.</w:t>
      </w:r>
      <w:r>
        <w:t xml:space="preserve"> The experiment group was exposed to the screener when they clicked the “start free trial” button. The null hypothesis is that there would be no difference shown by evaluation metrics between control and experiment groups. The unit of diversion was a cookie. The number of cookies and the number of clicks were selected as the invariant metrics. The gross conversion and the net conversion were sele</w:t>
      </w:r>
      <w:r w:rsidR="005A1E90">
        <w:t>cted as the evaluation metrics.</w:t>
      </w:r>
    </w:p>
    <w:p w:rsidR="005A1E90" w:rsidRDefault="005A1E90" w:rsidP="00FC6115">
      <w:pPr>
        <w:spacing w:after="240" w:line="360" w:lineRule="auto"/>
      </w:pPr>
      <w:r>
        <w:t>The Bonferroni correction method was not used since all evaluation metrics needed to show statistical significance prior to deployment of the change. If the acceptance criteria required only one of the evaluation metrics to show statistical significance and there was a need to control Type I errors more tightly, then the Bonferroni correction method would have been applied.</w:t>
      </w:r>
    </w:p>
    <w:p w:rsidR="005A1E90" w:rsidRDefault="005A1E90" w:rsidP="00FC6115">
      <w:pPr>
        <w:spacing w:after="240" w:line="360" w:lineRule="auto"/>
      </w:pPr>
      <w:r>
        <w:t>The final analysis showed that gross conversion was statistically significant at a 95% confidence interval, and therefore rejection of the null hypothesis, but net conversion was not statistically significant. Both effect size tests and sign tests supported these conclusions. It appears the screener successfully diverted some students from enrollment after clicking the “start free trial” button; however, the experiment did not show strong evidence that the screener successfully diverted the students who would not remain past the free trial period, or the students who were taking advantage of the free trial for 14 days and canceling their subscription before making the first payment.</w:t>
      </w:r>
    </w:p>
    <w:p w:rsidR="00051F47" w:rsidRPr="00FC6115" w:rsidRDefault="009C4DCE" w:rsidP="00FC6115">
      <w:pPr>
        <w:pStyle w:val="Heading2"/>
        <w:spacing w:after="240" w:line="360" w:lineRule="auto"/>
        <w:contextualSpacing w:val="0"/>
        <w:rPr>
          <w:sz w:val="28"/>
        </w:rPr>
      </w:pPr>
      <w:bookmarkStart w:id="13" w:name="h.2iroxj5zbf41" w:colFirst="0" w:colLast="0"/>
      <w:bookmarkEnd w:id="13"/>
      <w:r w:rsidRPr="00FC6115">
        <w:rPr>
          <w:sz w:val="28"/>
        </w:rPr>
        <w:t>Recommendation</w:t>
      </w:r>
    </w:p>
    <w:p w:rsidR="005C060A" w:rsidRDefault="005A1E90" w:rsidP="00FC6115">
      <w:pPr>
        <w:spacing w:after="240" w:line="360" w:lineRule="auto"/>
      </w:pPr>
      <w:r>
        <w:t xml:space="preserve">Because </w:t>
      </w:r>
      <w:r w:rsidR="00F468E2">
        <w:t>net conversion was not statistically significant and failed to reject the null hypothesis, I would recommend not launching the screener</w:t>
      </w:r>
      <w:r w:rsidR="009C4DCE">
        <w:t>.</w:t>
      </w:r>
      <w:r w:rsidR="00F468E2">
        <w:t xml:space="preserve"> The screener appeared to decrease overall enrollment</w:t>
      </w:r>
      <w:r w:rsidR="005C060A">
        <w:t>, apparent in the statistically significant gross conversion rate,</w:t>
      </w:r>
      <w:r w:rsidR="00F468E2">
        <w:t xml:space="preserve"> but was unable to filter out students who would not fully commit to the course past the free trial period and follow through to course completion.</w:t>
      </w:r>
      <w:r w:rsidR="005C060A">
        <w:t xml:space="preserve"> The net conversion confidence interval contained the negative of </w:t>
      </w:r>
      <w:r w:rsidR="005C060A">
        <w:lastRenderedPageBreak/>
        <w:t xml:space="preserve">the </w:t>
      </w:r>
      <w:r w:rsidR="00B24E43">
        <w:t>practical significance boundary</w:t>
      </w:r>
      <w:r w:rsidR="005C060A">
        <w:t xml:space="preserve"> </w:t>
      </w:r>
      <w:r w:rsidR="00D575B3">
        <w:t xml:space="preserve">and showed a decrease in the experiment group for number of users who remained past the free trial period and made the first payment relative to the number of cookies who clicked the “start free trial” button. </w:t>
      </w:r>
      <w:r w:rsidR="00B24E43">
        <w:t>This shows negative business impact because some students in the experiment group who may have gone on to make that first payment (as shown by the control group) are canceling before the free trial period expires.</w:t>
      </w:r>
    </w:p>
    <w:p w:rsidR="00051F47" w:rsidRDefault="005C060A" w:rsidP="00FC6115">
      <w:pPr>
        <w:spacing w:after="240" w:line="360" w:lineRule="auto"/>
      </w:pPr>
      <w:r>
        <w:t>Rather than launching this screener</w:t>
      </w:r>
      <w:r w:rsidR="00F468E2">
        <w:t xml:space="preserve">, I would recommend pursuing further experiments to better filter out the students who will complete the course and utilize the coaching resources provided by </w:t>
      </w:r>
      <w:proofErr w:type="spellStart"/>
      <w:r w:rsidR="00F468E2">
        <w:t>Udacity</w:t>
      </w:r>
      <w:proofErr w:type="spellEnd"/>
      <w:r w:rsidR="00F468E2">
        <w:t>.</w:t>
      </w:r>
    </w:p>
    <w:p w:rsidR="00051F47" w:rsidRPr="00FC6115" w:rsidRDefault="009C4DCE" w:rsidP="00FC6115">
      <w:pPr>
        <w:pStyle w:val="Heading1"/>
        <w:spacing w:after="240" w:line="360" w:lineRule="auto"/>
        <w:contextualSpacing w:val="0"/>
        <w:rPr>
          <w:b/>
        </w:rPr>
      </w:pPr>
      <w:bookmarkStart w:id="14" w:name="h.oz1x1oon17xf" w:colFirst="0" w:colLast="0"/>
      <w:bookmarkEnd w:id="14"/>
      <w:r w:rsidRPr="00FC6115">
        <w:rPr>
          <w:b/>
        </w:rPr>
        <w:t>Follow-Up Experiment</w:t>
      </w:r>
    </w:p>
    <w:p w:rsidR="00B24E43" w:rsidRDefault="00B24E43" w:rsidP="00FC6115">
      <w:pPr>
        <w:spacing w:after="240" w:line="360" w:lineRule="auto"/>
      </w:pPr>
      <w:r>
        <w:t>A future experiment</w:t>
      </w:r>
      <w:r w:rsidR="00635A8A">
        <w:t xml:space="preserve"> can focus on providing students with even more clarity upfront on what skills and pre-requisites are needed for the course, reducing the risk that students get frustrated after enrolling and give up during the free trial phase. </w:t>
      </w:r>
    </w:p>
    <w:p w:rsidR="0013592C" w:rsidRDefault="0013592C" w:rsidP="00FC6115">
      <w:pPr>
        <w:spacing w:after="240" w:line="360" w:lineRule="auto"/>
      </w:pPr>
      <w:r w:rsidRPr="00635A8A">
        <w:rPr>
          <w:b/>
        </w:rPr>
        <w:t>Setup:</w:t>
      </w:r>
      <w:r w:rsidR="00635A8A">
        <w:t xml:space="preserve"> Revise the screener to provide a mini-challenge to students when they click the “start free trial” button. The mini-challenge will test basics skills (i.e. programming or math) to give students a better sense of what skills and pre-requisites they will need to complete the course smoothly. If students do not perform well in the mini-challenge, </w:t>
      </w:r>
      <w:proofErr w:type="spellStart"/>
      <w:r w:rsidR="00635A8A">
        <w:t>Udacity</w:t>
      </w:r>
      <w:proofErr w:type="spellEnd"/>
      <w:r w:rsidR="00635A8A">
        <w:t xml:space="preserve"> can refer them to the pre-requisite courses they need and suggest they access course materials for free. Students who do pass the mini-challenge </w:t>
      </w:r>
      <w:r w:rsidR="00B24E43">
        <w:t>can complete checkout and enroll in the free trial</w:t>
      </w:r>
      <w:r w:rsidR="00635A8A">
        <w:t>.</w:t>
      </w:r>
    </w:p>
    <w:p w:rsidR="0013592C" w:rsidRDefault="0013592C" w:rsidP="00FC6115">
      <w:pPr>
        <w:spacing w:after="240" w:line="360" w:lineRule="auto"/>
      </w:pPr>
      <w:r w:rsidRPr="004C220C">
        <w:rPr>
          <w:b/>
        </w:rPr>
        <w:t>Null Hypothesis:</w:t>
      </w:r>
      <w:r w:rsidR="00ED7464">
        <w:t xml:space="preserve"> n</w:t>
      </w:r>
      <w:r w:rsidR="00635A8A">
        <w:t>o difference in evaluation metrics between the control group (</w:t>
      </w:r>
      <w:proofErr w:type="spellStart"/>
      <w:r w:rsidR="00635A8A">
        <w:t>Udacity</w:t>
      </w:r>
      <w:proofErr w:type="spellEnd"/>
      <w:r w:rsidR="00635A8A">
        <w:t xml:space="preserve"> as-is) and experiment group (mini-challenge screener</w:t>
      </w:r>
      <w:r w:rsidR="00D64A69">
        <w:t>)</w:t>
      </w:r>
    </w:p>
    <w:p w:rsidR="0013592C" w:rsidRDefault="0013592C" w:rsidP="00FC6115">
      <w:pPr>
        <w:spacing w:after="240" w:line="360" w:lineRule="auto"/>
      </w:pPr>
      <w:r w:rsidRPr="004C220C">
        <w:rPr>
          <w:b/>
        </w:rPr>
        <w:t>Unit of Diversion:</w:t>
      </w:r>
      <w:r w:rsidR="004C220C" w:rsidRPr="004C220C">
        <w:rPr>
          <w:b/>
        </w:rPr>
        <w:t xml:space="preserve"> </w:t>
      </w:r>
      <w:r w:rsidR="004C220C">
        <w:t>cookie, tracked by user-id after enrollment</w:t>
      </w:r>
    </w:p>
    <w:p w:rsidR="0013592C" w:rsidRDefault="0013592C" w:rsidP="00FC6115">
      <w:pPr>
        <w:spacing w:after="240" w:line="360" w:lineRule="auto"/>
      </w:pPr>
      <w:r w:rsidRPr="004C220C">
        <w:rPr>
          <w:b/>
        </w:rPr>
        <w:t>Invariant Metrics:</w:t>
      </w:r>
      <w:r w:rsidR="004C220C">
        <w:t xml:space="preserve"> number of cookies, number of clicks on “start free trial button”</w:t>
      </w:r>
    </w:p>
    <w:p w:rsidR="0013592C" w:rsidRDefault="0013592C" w:rsidP="00FC6115">
      <w:pPr>
        <w:spacing w:after="240" w:line="360" w:lineRule="auto"/>
      </w:pPr>
      <w:r w:rsidRPr="004C220C">
        <w:rPr>
          <w:b/>
        </w:rPr>
        <w:t>Evaluation Metrics:</w:t>
      </w:r>
      <w:r w:rsidR="004C220C">
        <w:t xml:space="preserve"> gross conversion (# enrollments / # clicks), net conversion (# enrollments past 14-days / # clicks)</w:t>
      </w:r>
    </w:p>
    <w:p w:rsidR="00051F47" w:rsidRDefault="00051F47" w:rsidP="00FC6115">
      <w:pPr>
        <w:spacing w:after="240" w:line="360" w:lineRule="auto"/>
      </w:pPr>
    </w:p>
    <w:sectPr w:rsidR="00051F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4269"/>
    <w:multiLevelType w:val="multilevel"/>
    <w:tmpl w:val="036EF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44CE3"/>
    <w:multiLevelType w:val="multilevel"/>
    <w:tmpl w:val="C280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93968"/>
    <w:multiLevelType w:val="hybridMultilevel"/>
    <w:tmpl w:val="37EE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40D40"/>
    <w:multiLevelType w:val="hybridMultilevel"/>
    <w:tmpl w:val="0000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02702"/>
    <w:multiLevelType w:val="hybridMultilevel"/>
    <w:tmpl w:val="87F2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47"/>
    <w:rsid w:val="00050E12"/>
    <w:rsid w:val="00051F47"/>
    <w:rsid w:val="000706E0"/>
    <w:rsid w:val="000A3BC3"/>
    <w:rsid w:val="000B6D9D"/>
    <w:rsid w:val="000D0DCB"/>
    <w:rsid w:val="000F482C"/>
    <w:rsid w:val="0013592C"/>
    <w:rsid w:val="00141141"/>
    <w:rsid w:val="00164BD2"/>
    <w:rsid w:val="001F13AD"/>
    <w:rsid w:val="00205441"/>
    <w:rsid w:val="002B58EA"/>
    <w:rsid w:val="002E64A8"/>
    <w:rsid w:val="003F6BB6"/>
    <w:rsid w:val="004172C4"/>
    <w:rsid w:val="00424A0B"/>
    <w:rsid w:val="00425A99"/>
    <w:rsid w:val="00447EC5"/>
    <w:rsid w:val="004C220C"/>
    <w:rsid w:val="005576B1"/>
    <w:rsid w:val="005A1E90"/>
    <w:rsid w:val="005C060A"/>
    <w:rsid w:val="005F57F9"/>
    <w:rsid w:val="00601C98"/>
    <w:rsid w:val="006039D2"/>
    <w:rsid w:val="00635A8A"/>
    <w:rsid w:val="00644A51"/>
    <w:rsid w:val="0068243E"/>
    <w:rsid w:val="006B7585"/>
    <w:rsid w:val="006D4392"/>
    <w:rsid w:val="007126F0"/>
    <w:rsid w:val="0071383E"/>
    <w:rsid w:val="007B1719"/>
    <w:rsid w:val="007C2500"/>
    <w:rsid w:val="008A0375"/>
    <w:rsid w:val="008C7FEA"/>
    <w:rsid w:val="00917D8D"/>
    <w:rsid w:val="00947A35"/>
    <w:rsid w:val="00957A20"/>
    <w:rsid w:val="00961D03"/>
    <w:rsid w:val="009C4DCE"/>
    <w:rsid w:val="00A45738"/>
    <w:rsid w:val="00A46ED0"/>
    <w:rsid w:val="00AA3C0B"/>
    <w:rsid w:val="00AC7531"/>
    <w:rsid w:val="00B1194D"/>
    <w:rsid w:val="00B24E43"/>
    <w:rsid w:val="00B75139"/>
    <w:rsid w:val="00BD24A3"/>
    <w:rsid w:val="00C00C2F"/>
    <w:rsid w:val="00C04C14"/>
    <w:rsid w:val="00C07F60"/>
    <w:rsid w:val="00CB601C"/>
    <w:rsid w:val="00CD5F71"/>
    <w:rsid w:val="00CD76DD"/>
    <w:rsid w:val="00CE5294"/>
    <w:rsid w:val="00D0530F"/>
    <w:rsid w:val="00D24492"/>
    <w:rsid w:val="00D575B3"/>
    <w:rsid w:val="00D64A69"/>
    <w:rsid w:val="00D91BA5"/>
    <w:rsid w:val="00E151AC"/>
    <w:rsid w:val="00E26750"/>
    <w:rsid w:val="00EA38C1"/>
    <w:rsid w:val="00ED7464"/>
    <w:rsid w:val="00EE366A"/>
    <w:rsid w:val="00F468E2"/>
    <w:rsid w:val="00F72668"/>
    <w:rsid w:val="00F87C54"/>
    <w:rsid w:val="00F94899"/>
    <w:rsid w:val="00F97BE8"/>
    <w:rsid w:val="00FC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F451"/>
  <w15:docId w15:val="{C3397FAA-B75B-4DF8-A482-C303801D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B1194D"/>
    <w:rPr>
      <w:color w:val="0563C1" w:themeColor="hyperlink"/>
      <w:u w:val="single"/>
    </w:rPr>
  </w:style>
  <w:style w:type="character" w:customStyle="1" w:styleId="c5">
    <w:name w:val="c5"/>
    <w:basedOn w:val="DefaultParagraphFont"/>
    <w:rsid w:val="005576B1"/>
  </w:style>
  <w:style w:type="character" w:customStyle="1" w:styleId="apple-converted-space">
    <w:name w:val="apple-converted-space"/>
    <w:basedOn w:val="DefaultParagraphFont"/>
    <w:rsid w:val="005576B1"/>
  </w:style>
  <w:style w:type="character" w:customStyle="1" w:styleId="c4">
    <w:name w:val="c4"/>
    <w:basedOn w:val="DefaultParagraphFont"/>
    <w:rsid w:val="005576B1"/>
  </w:style>
  <w:style w:type="character" w:customStyle="1" w:styleId="c2">
    <w:name w:val="c2"/>
    <w:basedOn w:val="DefaultParagraphFont"/>
    <w:rsid w:val="005576B1"/>
  </w:style>
  <w:style w:type="character" w:styleId="PlaceholderText">
    <w:name w:val="Placeholder Text"/>
    <w:basedOn w:val="DefaultParagraphFont"/>
    <w:uiPriority w:val="99"/>
    <w:semiHidden/>
    <w:rsid w:val="005576B1"/>
    <w:rPr>
      <w:color w:val="808080"/>
    </w:rPr>
  </w:style>
  <w:style w:type="table" w:styleId="TableGrid">
    <w:name w:val="Table Grid"/>
    <w:basedOn w:val="TableNormal"/>
    <w:uiPriority w:val="39"/>
    <w:rsid w:val="005576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7A35"/>
    <w:rPr>
      <w:color w:val="954F72" w:themeColor="followedHyperlink"/>
      <w:u w:val="single"/>
    </w:rPr>
  </w:style>
  <w:style w:type="paragraph" w:styleId="ListParagraph">
    <w:name w:val="List Paragraph"/>
    <w:basedOn w:val="Normal"/>
    <w:uiPriority w:val="34"/>
    <w:qFormat/>
    <w:rsid w:val="000D0DCB"/>
    <w:pPr>
      <w:ind w:left="720"/>
      <w:contextualSpacing/>
    </w:pPr>
  </w:style>
  <w:style w:type="paragraph" w:customStyle="1" w:styleId="c6">
    <w:name w:val="c6"/>
    <w:basedOn w:val="Normal"/>
    <w:rsid w:val="00C00C2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10">
    <w:name w:val="c10"/>
    <w:basedOn w:val="DefaultParagraphFont"/>
    <w:rsid w:val="00C00C2F"/>
  </w:style>
  <w:style w:type="paragraph" w:styleId="NormalWeb">
    <w:name w:val="Normal (Web)"/>
    <w:basedOn w:val="Normal"/>
    <w:uiPriority w:val="99"/>
    <w:semiHidden/>
    <w:unhideWhenUsed/>
    <w:rsid w:val="00D0530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6762">
      <w:bodyDiv w:val="1"/>
      <w:marLeft w:val="0"/>
      <w:marRight w:val="0"/>
      <w:marTop w:val="0"/>
      <w:marBottom w:val="0"/>
      <w:divBdr>
        <w:top w:val="none" w:sz="0" w:space="0" w:color="auto"/>
        <w:left w:val="none" w:sz="0" w:space="0" w:color="auto"/>
        <w:bottom w:val="none" w:sz="0" w:space="0" w:color="auto"/>
        <w:right w:val="none" w:sz="0" w:space="0" w:color="auto"/>
      </w:divBdr>
    </w:div>
    <w:div w:id="250895391">
      <w:bodyDiv w:val="1"/>
      <w:marLeft w:val="0"/>
      <w:marRight w:val="0"/>
      <w:marTop w:val="0"/>
      <w:marBottom w:val="0"/>
      <w:divBdr>
        <w:top w:val="none" w:sz="0" w:space="0" w:color="auto"/>
        <w:left w:val="none" w:sz="0" w:space="0" w:color="auto"/>
        <w:bottom w:val="none" w:sz="0" w:space="0" w:color="auto"/>
        <w:right w:val="none" w:sz="0" w:space="0" w:color="auto"/>
      </w:divBdr>
    </w:div>
    <w:div w:id="373359351">
      <w:bodyDiv w:val="1"/>
      <w:marLeft w:val="0"/>
      <w:marRight w:val="0"/>
      <w:marTop w:val="0"/>
      <w:marBottom w:val="0"/>
      <w:divBdr>
        <w:top w:val="none" w:sz="0" w:space="0" w:color="auto"/>
        <w:left w:val="none" w:sz="0" w:space="0" w:color="auto"/>
        <w:bottom w:val="none" w:sz="0" w:space="0" w:color="auto"/>
        <w:right w:val="none" w:sz="0" w:space="0" w:color="auto"/>
      </w:divBdr>
    </w:div>
    <w:div w:id="449015401">
      <w:bodyDiv w:val="1"/>
      <w:marLeft w:val="0"/>
      <w:marRight w:val="0"/>
      <w:marTop w:val="0"/>
      <w:marBottom w:val="0"/>
      <w:divBdr>
        <w:top w:val="none" w:sz="0" w:space="0" w:color="auto"/>
        <w:left w:val="none" w:sz="0" w:space="0" w:color="auto"/>
        <w:bottom w:val="none" w:sz="0" w:space="0" w:color="auto"/>
        <w:right w:val="none" w:sz="0" w:space="0" w:color="auto"/>
      </w:divBdr>
    </w:div>
    <w:div w:id="507910021">
      <w:bodyDiv w:val="1"/>
      <w:marLeft w:val="0"/>
      <w:marRight w:val="0"/>
      <w:marTop w:val="0"/>
      <w:marBottom w:val="0"/>
      <w:divBdr>
        <w:top w:val="none" w:sz="0" w:space="0" w:color="auto"/>
        <w:left w:val="none" w:sz="0" w:space="0" w:color="auto"/>
        <w:bottom w:val="none" w:sz="0" w:space="0" w:color="auto"/>
        <w:right w:val="none" w:sz="0" w:space="0" w:color="auto"/>
      </w:divBdr>
    </w:div>
    <w:div w:id="564268374">
      <w:bodyDiv w:val="1"/>
      <w:marLeft w:val="0"/>
      <w:marRight w:val="0"/>
      <w:marTop w:val="0"/>
      <w:marBottom w:val="0"/>
      <w:divBdr>
        <w:top w:val="none" w:sz="0" w:space="0" w:color="auto"/>
        <w:left w:val="none" w:sz="0" w:space="0" w:color="auto"/>
        <w:bottom w:val="none" w:sz="0" w:space="0" w:color="auto"/>
        <w:right w:val="none" w:sz="0" w:space="0" w:color="auto"/>
      </w:divBdr>
    </w:div>
    <w:div w:id="906766529">
      <w:bodyDiv w:val="1"/>
      <w:marLeft w:val="0"/>
      <w:marRight w:val="0"/>
      <w:marTop w:val="0"/>
      <w:marBottom w:val="0"/>
      <w:divBdr>
        <w:top w:val="none" w:sz="0" w:space="0" w:color="auto"/>
        <w:left w:val="none" w:sz="0" w:space="0" w:color="auto"/>
        <w:bottom w:val="none" w:sz="0" w:space="0" w:color="auto"/>
        <w:right w:val="none" w:sz="0" w:space="0" w:color="auto"/>
      </w:divBdr>
    </w:div>
    <w:div w:id="1257664807">
      <w:bodyDiv w:val="1"/>
      <w:marLeft w:val="0"/>
      <w:marRight w:val="0"/>
      <w:marTop w:val="0"/>
      <w:marBottom w:val="0"/>
      <w:divBdr>
        <w:top w:val="none" w:sz="0" w:space="0" w:color="auto"/>
        <w:left w:val="none" w:sz="0" w:space="0" w:color="auto"/>
        <w:bottom w:val="none" w:sz="0" w:space="0" w:color="auto"/>
        <w:right w:val="none" w:sz="0" w:space="0" w:color="auto"/>
      </w:divBdr>
    </w:div>
    <w:div w:id="1378511252">
      <w:bodyDiv w:val="1"/>
      <w:marLeft w:val="0"/>
      <w:marRight w:val="0"/>
      <w:marTop w:val="0"/>
      <w:marBottom w:val="0"/>
      <w:divBdr>
        <w:top w:val="none" w:sz="0" w:space="0" w:color="auto"/>
        <w:left w:val="none" w:sz="0" w:space="0" w:color="auto"/>
        <w:bottom w:val="none" w:sz="0" w:space="0" w:color="auto"/>
        <w:right w:val="none" w:sz="0" w:space="0" w:color="auto"/>
      </w:divBdr>
    </w:div>
    <w:div w:id="1570269487">
      <w:bodyDiv w:val="1"/>
      <w:marLeft w:val="0"/>
      <w:marRight w:val="0"/>
      <w:marTop w:val="0"/>
      <w:marBottom w:val="0"/>
      <w:divBdr>
        <w:top w:val="none" w:sz="0" w:space="0" w:color="auto"/>
        <w:left w:val="none" w:sz="0" w:space="0" w:color="auto"/>
        <w:bottom w:val="none" w:sz="0" w:space="0" w:color="auto"/>
        <w:right w:val="none" w:sz="0" w:space="0" w:color="auto"/>
      </w:divBdr>
    </w:div>
    <w:div w:id="1608658638">
      <w:bodyDiv w:val="1"/>
      <w:marLeft w:val="0"/>
      <w:marRight w:val="0"/>
      <w:marTop w:val="0"/>
      <w:marBottom w:val="0"/>
      <w:divBdr>
        <w:top w:val="none" w:sz="0" w:space="0" w:color="auto"/>
        <w:left w:val="none" w:sz="0" w:space="0" w:color="auto"/>
        <w:bottom w:val="none" w:sz="0" w:space="0" w:color="auto"/>
        <w:right w:val="none" w:sz="0" w:space="0" w:color="auto"/>
      </w:divBdr>
    </w:div>
    <w:div w:id="1627467432">
      <w:bodyDiv w:val="1"/>
      <w:marLeft w:val="0"/>
      <w:marRight w:val="0"/>
      <w:marTop w:val="0"/>
      <w:marBottom w:val="0"/>
      <w:divBdr>
        <w:top w:val="none" w:sz="0" w:space="0" w:color="auto"/>
        <w:left w:val="none" w:sz="0" w:space="0" w:color="auto"/>
        <w:bottom w:val="none" w:sz="0" w:space="0" w:color="auto"/>
        <w:right w:val="none" w:sz="0" w:space="0" w:color="auto"/>
      </w:divBdr>
    </w:div>
    <w:div w:id="1661543258">
      <w:bodyDiv w:val="1"/>
      <w:marLeft w:val="0"/>
      <w:marRight w:val="0"/>
      <w:marTop w:val="0"/>
      <w:marBottom w:val="0"/>
      <w:divBdr>
        <w:top w:val="none" w:sz="0" w:space="0" w:color="auto"/>
        <w:left w:val="none" w:sz="0" w:space="0" w:color="auto"/>
        <w:bottom w:val="none" w:sz="0" w:space="0" w:color="auto"/>
        <w:right w:val="none" w:sz="0" w:space="0" w:color="auto"/>
      </w:divBdr>
    </w:div>
    <w:div w:id="1725445544">
      <w:bodyDiv w:val="1"/>
      <w:marLeft w:val="0"/>
      <w:marRight w:val="0"/>
      <w:marTop w:val="0"/>
      <w:marBottom w:val="0"/>
      <w:divBdr>
        <w:top w:val="none" w:sz="0" w:space="0" w:color="auto"/>
        <w:left w:val="none" w:sz="0" w:space="0" w:color="auto"/>
        <w:bottom w:val="none" w:sz="0" w:space="0" w:color="auto"/>
        <w:right w:val="none" w:sz="0" w:space="0" w:color="auto"/>
      </w:divBdr>
    </w:div>
    <w:div w:id="1844321146">
      <w:bodyDiv w:val="1"/>
      <w:marLeft w:val="0"/>
      <w:marRight w:val="0"/>
      <w:marTop w:val="0"/>
      <w:marBottom w:val="0"/>
      <w:divBdr>
        <w:top w:val="none" w:sz="0" w:space="0" w:color="auto"/>
        <w:left w:val="none" w:sz="0" w:space="0" w:color="auto"/>
        <w:bottom w:val="none" w:sz="0" w:space="0" w:color="auto"/>
        <w:right w:val="none" w:sz="0" w:space="0" w:color="auto"/>
      </w:divBdr>
    </w:div>
    <w:div w:id="2101100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9</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Wenying Wu</dc:creator>
  <cp:lastModifiedBy>Wenny Wu</cp:lastModifiedBy>
  <cp:revision>50</cp:revision>
  <dcterms:created xsi:type="dcterms:W3CDTF">2016-07-12T19:43:00Z</dcterms:created>
  <dcterms:modified xsi:type="dcterms:W3CDTF">2016-07-13T23:45:00Z</dcterms:modified>
</cp:coreProperties>
</file>