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13F11"/>
          <w:sz w:val="48"/>
        </w:rPr>
        <w:t>MetalRadar · AI Agent 模块</w:t>
      </w:r>
    </w:p>
    <w:p>
      <w:pPr>
        <w:jc w:val="center"/>
      </w:pPr>
      <w:r>
        <w:rPr>
          <w:color w:val="646464"/>
          <w:sz w:val="28"/>
        </w:rPr>
        <w:t>架构与功能速查手册</w:t>
      </w:r>
    </w:p>
    <w:p/>
    <w:p>
      <w:pPr>
        <w:jc w:val="center"/>
      </w:pPr>
      <w:r>
        <w:rPr>
          <w:color w:val="505050"/>
          <w:sz w:val="20"/>
        </w:rPr>
        <w:t>版本    第 10 次迭代（精简版）</w:t>
      </w:r>
    </w:p>
    <w:p>
      <w:pPr>
        <w:jc w:val="center"/>
      </w:pPr>
      <w:r>
        <w:rPr>
          <w:color w:val="505050"/>
          <w:sz w:val="20"/>
        </w:rPr>
        <w:t>日期    2026-07-07</w:t>
      </w:r>
    </w:p>
    <w:p>
      <w:pPr>
        <w:jc w:val="center"/>
      </w:pPr>
      <w:r>
        <w:rPr>
          <w:color w:val="505050"/>
          <w:sz w:val="20"/>
        </w:rPr>
        <w:t>用途    供撰写结题报告的同学快速了解模块全貌</w:t>
      </w:r>
    </w:p>
    <w:p>
      <w:pPr>
        <w:jc w:val="center"/>
      </w:pPr>
      <w:r>
        <w:rPr>
          <w:color w:val="505050"/>
          <w:sz w:val="20"/>
        </w:rPr>
        <w:t>范围    Agent 对话分析 + 风险报告生成 + 仪表盘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rFonts w:eastAsia="微软雅黑"/>
        </w:rPr>
        <w:t>1  界面布局</w:t>
      </w:r>
    </w:p>
    <w:p>
      <w:pPr>
        <w:ind w:firstLine="420"/>
      </w:pPr>
      <w:r>
        <w:t>Agent 页面采用三栏可拖拽布局，从左至右依次为对话历史栏、主对话区域、右侧工具面板。用户可通过拖拽分割线自由调整各栏宽度，右侧面板可折叠。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5669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左侧边栏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260px（可调）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历史会话管理：新建、切换、重命名、删除对话</w:t>
            </w:r>
          </w:p>
        </w:tc>
      </w:tr>
      <w:tr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主对话区</w:t>
            </w:r>
          </w:p>
        </w:tc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自适应中栏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AI 对话交互：文本输入、场景切换、多公司/多金属选择、消息气泡渲染（含图表内嵌）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右侧面板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420px（可调）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工具面板：仪表盘、推荐问题、报告预览、使用手册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rFonts w:eastAsia="微软雅黑"/>
        </w:rPr>
        <w:t>2  核心功能清单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5669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智能对话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主对话区输入框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支持三种场景：风险扫描、事件影响分析、自由问答。LLM 驱动，自动提取对话中的公司/金属实体，最多 20 轮上下文</w:t>
            </w:r>
          </w:p>
        </w:tc>
      </w:tr>
      <w:tr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多公司/多金属选择</w:t>
            </w:r>
          </w:p>
        </w:tc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对话区顶部选择器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从数据库加载所有公司及其上游金属原料，支持任意组合。选择影响对话上下文和报告生成范围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右侧面板 Dashboard Tab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四个子面板：公司概览（利润/营收/波动率）、风险评分（五因子柱状图）、市场情绪（评分/热度/关键词云）、金属行情（真实期货数据）</w:t>
            </w:r>
          </w:p>
        </w:tc>
      </w:tr>
      <w:tr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风险报告</w:t>
            </w:r>
          </w:p>
        </w:tc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右侧面板 Report Tab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一键生成结构化分析报告，含摘要、行情快照、成本结构、风险因子、推理过程、操作建议。支持 HTML 导出和 PDF 下载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图表渲染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对话 + 报告内嵌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ECharts 驱动的六类图表：柱状图、折线图、仪表盘、饼图、桑基图、风险分柱状图。支持点击放大</w:t>
            </w:r>
          </w:p>
        </w:tc>
      </w:tr>
      <w:tr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辅助功能</w:t>
            </w:r>
          </w:p>
        </w:tc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各区域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推荐问题（基于当前上下文）、输入联想（实体搜索）、使用手册面板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会话持久化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左侧边栏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对话自动保存至 SQLite，切换会话恢复历史消息，支持重命名和删除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rFonts w:eastAsia="微软雅黑"/>
        </w:rPr>
        <w:t>3  三种报告生成模式</w:t>
      </w:r>
    </w:p>
    <w:p>
      <w:pPr>
        <w:ind w:firstLine="420"/>
      </w:pPr>
      <w:r>
        <w:t>报告生成是整个 Agent 模块的核心输出能力。根据用户在左侧选择器和对话中涉及的实体类型，系统自动路由到以下三种模式之一。前端和后端各做一个分发判断，确保数据完整性。</w:t>
      </w:r>
    </w:p>
    <w:p>
      <w:pPr>
        <w:pStyle w:val="Heading2"/>
      </w:pPr>
      <w:r>
        <w:rPr>
          <w:rFonts w:ascii="微软雅黑" w:hAnsi="微软雅黑"/>
          <w:rFonts w:eastAsia="微软雅黑"/>
        </w:rPr>
        <w:t>3.1  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报告模式</w:t>
            </w:r>
          </w:p>
        </w:tc>
        <w:tc>
          <w:tcPr>
            <w:tcW w:type="dxa" w:w="1701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268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单公司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仅选 1 家公司</w:t>
              <w:br/>
              <w:t>未选金属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company_id</w:t>
              <w:br/>
              <w:t>conversation_context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公司概况、成本结构</w:t>
              <w:br/>
              <w:t>风险评分(雷达)</w:t>
              <w:br/>
              <w:t>财务趋势图</w:t>
              <w:br/>
              <w:t>5 条操作建议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单一企业的</w:t>
              <w:br/>
              <w:t>快速风险评估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多公司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选 ≥2 家公司</w:t>
              <w:br/>
              <w:t>未选金属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company_ids</w:t>
              <w:br/>
              <w:t>conversation_context</w:t>
            </w:r>
          </w:p>
        </w:tc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每家公司的概况</w:t>
              <w:br/>
              <w:t>横向风险对比表</w:t>
              <w:br/>
              <w:t>综合风险排名</w:t>
              <w:br/>
              <w:t>组合建议</w:t>
            </w:r>
          </w:p>
        </w:tc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行业横向比较</w:t>
              <w:br/>
              <w:t>供应链风险扫描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金属聚焦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选了金属品种</w:t>
              <w:br/>
              <w:t>(可同时选公司)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material_names</w:t>
              <w:br/>
              <w:t>company_ids (可选)</w:t>
              <w:br/>
              <w:t>conversation_context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多金属期货行情快照</w:t>
              <w:br/>
              <w:t>金属-企业成本暴露表</w:t>
              <w:br/>
              <w:t>每家公司按金属排序</w:t>
              <w:br/>
              <w:t>市场情绪 + 行业新闻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原材料价格波动</w:t>
              <w:br/>
              <w:t>对行业链的冲击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rFonts w:eastAsia="微软雅黑"/>
        </w:rPr>
        <w:t>3.2  分发流程</w:t>
      </w:r>
    </w:p>
    <w:p>
      <w:pPr>
        <w:ind w:firstLine="420"/>
      </w:pPr>
      <w:r>
        <w:t>报告生成请求从前端到后端的完整链路如下：前端 handleGenerateReport 收集选中的公司 IDs 和金属品种名称，调用 /chat/report 接口；后端 create_report 路由根据参数组合决定调用 agent_service.generate_report 的哪个分支；分发器按优先级判断：纯金属（有金属无公司）→ 多公司（有公司列表）→ 单公司（兼容旧版 company_id）。每个分支调用对应的内部函数完成数据聚合和 LLM 增强。</w:t>
      </w:r>
    </w:p>
    <w:p/>
    <w:p>
      <w:pPr>
        <w:pStyle w:val="Heading1"/>
      </w:pPr>
      <w:r>
        <w:rPr>
          <w:rFonts w:ascii="微软雅黑" w:hAnsi="微软雅黑"/>
          <w:rFonts w:eastAsia="微软雅黑"/>
        </w:rPr>
        <w:t>4  五因子风险评分模型</w:t>
      </w:r>
    </w:p>
    <w:p>
      <w:pPr>
        <w:ind w:firstLine="420"/>
      </w:pPr>
      <w:r>
        <w:t>所有报告模式统一采用五因子加权评分体系。每个因子的得分来自数据库查询和 LLM 对对话上下文的分析，加权求和后映射为三个风险等级。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因子名称</w:t>
            </w:r>
          </w:p>
        </w:tc>
        <w:tc>
          <w:tcPr>
            <w:tcW w:type="dxa" w:w="850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551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2835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舆情风险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News 表（近 3 天关联新闻）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负面新闻占比 × 情绪强度系数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价格波动</w:t>
            </w:r>
          </w:p>
        </w:tc>
        <w:tc>
          <w:tcPr>
            <w:tcW w:type="dxa" w:w="850"/>
            <w:shd w:fill="f0fdf4" w:val="clea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551"/>
            <w:shd w:fill="f0fdf4" w:val="clear"/>
          </w:tcPr>
          <w:p>
            <w:r>
              <w:rPr>
                <w:sz w:val="18"/>
              </w:rPr>
              <w:t>akshare 期货实时行情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30 日波动率归一化到 0-100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成本暴露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CompanyMaterial 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最大原材料成本占比 × 价格方向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宏观环境</w:t>
            </w:r>
          </w:p>
        </w:tc>
        <w:tc>
          <w:tcPr>
            <w:tcW w:type="dxa" w:w="850"/>
            <w:shd w:fill="f0fdf4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551"/>
            <w:shd w:fill="f0fdf4" w:val="clear"/>
          </w:tcPr>
          <w:p>
            <w:r>
              <w:rPr>
                <w:sz w:val="18"/>
              </w:rPr>
              <w:t>LLM 分析市场整体描述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基于对话上下文和当前热点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汇率风险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LLM 评估外汇敞口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进口依赖度 × 汇率波动预期</w:t>
            </w:r>
          </w:p>
        </w:tc>
      </w:tr>
    </w:tbl>
    <w:p>
      <w:r>
        <w:rPr>
          <w:color w:val="646464"/>
          <w:sz w:val="18"/>
        </w:rPr>
        <w:t>风险等级映射：≥70 高风险（红色）、40-69 中等风险（橙色）、&lt;40 低风险（绿色）。</w:t>
      </w:r>
    </w:p>
    <w:p/>
    <w:p>
      <w:pPr>
        <w:pStyle w:val="Heading1"/>
      </w:pPr>
      <w:r>
        <w:rPr>
          <w:rFonts w:ascii="微软雅黑" w:hAnsi="微软雅黑"/>
          <w:rFonts w:eastAsia="微软雅黑"/>
        </w:rPr>
        <w:t>5  技术栈一览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535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React 19 + TypeScript + Vite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SPA 页面、组件化、状态管理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UI 组件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TailwindCSS v4 + shadcn/ui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样式系统、基础 UI 组件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ECharts (echarts-for-react)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六种图表类型、交互式可视化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Python FastAPI + SQLAlchemy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REST API、ORM、会话管理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AI 引擎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DeepSeek API (OpenAI 兼容)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对话推理、报告摘要、实体提取</w:t>
            </w:r>
          </w:p>
        </w:tc>
      </w:tr>
      <w:tr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akshare (期货行情) + SQLite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实时行情拉取 + 结构化存储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rFonts w:eastAsia="微软雅黑"/>
        </w:rPr>
        <w:t>6  API 接口速查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417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669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发送消息，返回 AI 回复 + 图表 + 风险分</w:t>
            </w:r>
          </w:p>
        </w:tc>
      </w:tr>
      <w:tr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/chat/report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生成分析报告（支持三种模式）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/chat/report/pdf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导出报告为 PDF 文件</w:t>
            </w:r>
          </w:p>
        </w:tc>
      </w:tr>
      <w:tr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/chat/dashboard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仪表盘数据（公司/风险/情绪/金属）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/chat/recommended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基于上下文的推荐问题</w:t>
            </w:r>
          </w:p>
        </w:tc>
      </w:tr>
      <w:tr>
        <w:tc>
          <w:tcPr>
            <w:tcW w:type="dxa" w:w="1984"/>
            <w:shd w:fill="f0fdf4" w:val="clear"/>
          </w:tcPr>
          <w:p>
            <w:r>
              <w:rPr>
                <w:sz w:val="18"/>
              </w:rPr>
              <w:t>/chat/sessions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GET / POST</w:t>
            </w:r>
          </w:p>
        </w:tc>
        <w:tc>
          <w:tcPr>
            <w:tcW w:type="dxa" w:w="5669"/>
            <w:shd w:fill="f0fdf4" w:val="clear"/>
          </w:tcPr>
          <w:p>
            <w:r>
              <w:rPr>
                <w:sz w:val="18"/>
              </w:rPr>
              <w:t>会话列表 / 创建新会话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/chat/sessions/{id}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GET / PUT / DELETE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获取 / 重命名 / 删除会话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rFonts w:eastAsia="微软雅黑"/>
        </w:rPr>
        <w:t>7  关键代码文件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417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1a563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backend/app/services/agent_service.py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后端服务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全部核心逻辑：对话处理、报告生成(含5个子函数)、风险评分、会话管理、PDF/分享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backend/app/api/chat.py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API 路由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REST 端点：chat、report、dashboard、sessions、recommended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backend/app/schemas/chat.py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Pydantic 请求/响应模型：ChartData、RiskReport、ReportGenerateRequest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frontend/src/pages/AgentPage.tsx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前端页面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完整 Agent 页面：三栏布局、对话、仪表盘、报告面板、使用手册、图表渲染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frontend/src/hooks/useAgent.ts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React Hooks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状态管理：对话(messages)、报告(report)、会话(sessions)、仪表盘(dashboard)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frontend/src/services/agentService.ts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API 层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axios 封装：所有 Agent 相关 HTTP 请求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frontend/src/types/agent.ts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类型定义：所有 Agent 相关接口和类型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backend/app/services/futures_service.py</w:t>
            </w:r>
          </w:p>
        </w:tc>
        <w:tc>
          <w:tcPr>
            <w:tcW w:type="dxa" w:w="1417"/>
            <w:shd w:fill="f0fdf4" w:val="clear"/>
          </w:tcPr>
          <w:p>
            <w:r>
              <w:rPr>
                <w:sz w:val="18"/>
              </w:rPr>
              <w:t>数据服务</w:t>
            </w:r>
          </w:p>
        </w:tc>
        <w:tc>
          <w:tcPr>
            <w:tcW w:type="dxa" w:w="4535"/>
            <w:shd w:fill="f0fdf4" w:val="clear"/>
          </w:tcPr>
          <w:p>
            <w:r>
              <w:rPr>
                <w:sz w:val="18"/>
              </w:rPr>
              <w:t>期货行情获取：akshare 接口封装，支持主要合约查询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