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Macro Alpha Pro: 联动特征自动发现与涌现协议 (v3.0)</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 原始数据采集：增强型记忆指纹 (Memory Fingerprinting)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为了让系统能“自发”看到联动，每个板块的决策必须携带更多“宏观基因”：</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特征向量 (Feature Embedding)</w:t>
      </w:r>
      <w:r w:rsidDel="00000000" w:rsidR="00000000" w:rsidRPr="00000000">
        <w:rPr>
          <w:rFonts w:ascii="Google Sans" w:cs="Google Sans" w:eastAsia="Google Sans" w:hAnsi="Google Sans"/>
          <w:color w:val="1f1f1f"/>
          <w:rtl w:val="0"/>
        </w:rPr>
        <w:t xml:space="preserve">：记录决策时的 128 维语义向量（包含情绪、关键指标等）。</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残差记录 (Alpha Residual)</w:t>
      </w:r>
      <w:r w:rsidDel="00000000" w:rsidR="00000000" w:rsidRPr="00000000">
        <w:rPr>
          <w:rFonts w:ascii="Google Sans" w:cs="Google Sans" w:eastAsia="Google Sans" w:hAnsi="Google Sans"/>
          <w:color w:val="1f1f1f"/>
          <w:rtl w:val="0"/>
        </w:rPr>
        <w:t xml:space="preserve">：记录该板块由于“未知原因”导致的预测失败（这通常是跨板块溢出的信号）。</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二、 自动发现算法：滑动窗口因果推断 (Rolling Causal Inference)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 Alpha Memory 达到阈值后，启动以下逻辑：</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时序互相关 (Cross-Correlation)</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计算板块 </w:t>
      </w:r>
      <w:r w:rsidDel="00000000" w:rsidR="00000000" w:rsidRPr="00000000">
        <w:rPr>
          <w:rFonts w:ascii="Google Sans" w:cs="Google Sans" w:eastAsia="Google Sans" w:hAnsi="Google Sans"/>
          <w:color w:val="1f1f1f"/>
        </w:rPr>
        <w:drawing>
          <wp:inline distB="19050" distT="19050" distL="19050" distR="19050">
            <wp:extent cx="63659" cy="23341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659" cy="2334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的预测误差曲线与板块 </w:t>
      </w:r>
      <w:r w:rsidDel="00000000" w:rsidR="00000000" w:rsidRPr="00000000">
        <w:rPr>
          <w:rFonts w:ascii="Google Sans" w:cs="Google Sans" w:eastAsia="Google Sans" w:hAnsi="Google Sans"/>
          <w:color w:val="1f1f1f"/>
        </w:rPr>
        <w:drawing>
          <wp:inline distB="19050" distT="19050" distL="19050" distR="19050">
            <wp:extent cx="86519" cy="237926"/>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6519" cy="2379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的特征曲线之间的互相关系数。</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LLM 归因总结 (Meta-Synthesis)</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将具有高相关性的两个板块的 DecisionLogs 喂给 Meta-Agent，提问：</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"在 2024 年 Q3，半导体板块的失败逻辑与汽车板块的成功逻辑是否存在潜在的因果对冲？请提炼出一个跨板块 Skill。"</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统计准入 (Statistical Validation)</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新发现的“联动规律”必须在历史镜像测试（Backtest Lab）中展现出高于随机概率的预测增益。</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三、 联动知识的存储：Linkage Skill 库</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一旦验证通过，系统会自动生成一条 Linkage Skill：</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案例</w:t>
      </w:r>
      <w:r w:rsidDel="00000000" w:rsidR="00000000" w:rsidRPr="00000000">
        <w:rPr>
          <w:rFonts w:ascii="Google Sans" w:cs="Google Sans" w:eastAsia="Google Sans" w:hAnsi="Google Sans"/>
          <w:color w:val="1f1f1f"/>
          <w:rtl w:val="0"/>
        </w:rPr>
        <w:t xml:space="preserve">: "当 NVIDIA (Semiconductor) 确认下调 CAPEX 预期时，下游数据中心服务商 (Tech) 的逻辑衰减滞后时间约为 15 个交易日。"</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状态</w:t>
      </w:r>
      <w:r w:rsidDel="00000000" w:rsidR="00000000" w:rsidRPr="00000000">
        <w:rPr>
          <w:rFonts w:ascii="Google Sans" w:cs="Google Sans" w:eastAsia="Google Sans" w:hAnsi="Google Sans"/>
          <w:color w:val="1f1f1f"/>
          <w:rtl w:val="0"/>
        </w:rPr>
        <w:t xml:space="preserve">: 自动生成，标记为 Experimental，等待人类一键确认。</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四、 这种方式的优势</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Context 驱动</w:t>
      </w:r>
      <w:r w:rsidDel="00000000" w:rsidR="00000000" w:rsidRPr="00000000">
        <w:rPr>
          <w:rFonts w:ascii="Google Sans" w:cs="Google Sans" w:eastAsia="Google Sans" w:hAnsi="Google Sans"/>
          <w:color w:val="1f1f1f"/>
          <w:rtl w:val="0"/>
        </w:rPr>
        <w:t xml:space="preserve">: 每一个联动规律都附带了产生该规律的真实历史案例（Anchor Decisions）。</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动态演进</w:t>
      </w:r>
      <w:r w:rsidDel="00000000" w:rsidR="00000000" w:rsidRPr="00000000">
        <w:rPr>
          <w:rFonts w:ascii="Google Sans" w:cs="Google Sans" w:eastAsia="Google Sans" w:hAnsi="Google Sans"/>
          <w:color w:val="1f1f1f"/>
          <w:rtl w:val="0"/>
        </w:rPr>
        <w:t xml:space="preserve">: 随着数据增加，系统会自动废弃那些在 2026 年失效的 2018 年规律。</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