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638FB">
      <w:pPr>
        <w:pStyle w:val="10"/>
        <w:spacing w:after="360"/>
        <w:jc w:val="center"/>
      </w:pPr>
      <w:r>
        <w:rPr>
          <w:rFonts w:ascii="Times New Roman" w:hAnsi="Times New Roman" w:eastAsia="Times New Roman" w:cs="Times New Roman"/>
          <w:b/>
          <w:bCs/>
          <w:color w:val="263238"/>
          <w:sz w:val="36"/>
          <w:szCs w:val="36"/>
        </w:rPr>
        <w:t>资料说明及项目创新点</w:t>
      </w:r>
    </w:p>
    <w:p w14:paraId="5A314264">
      <w:pPr>
        <w:pStyle w:val="2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263238"/>
          <w:sz w:val="30"/>
          <w:szCs w:val="30"/>
        </w:rPr>
        <w:t>目录</w:t>
      </w:r>
    </w:p>
    <w:p w14:paraId="0D2AD869">
      <w:pPr>
        <w:spacing w:after="160" w:line="300" w:lineRule="auto"/>
      </w:pPr>
      <w:r>
        <w:rPr>
          <w:rFonts w:ascii="Times New Roman" w:hAnsi="Times New Roman" w:eastAsia="Times New Roman" w:cs="Times New Roman"/>
          <w:i/>
          <w:iCs/>
          <w:color w:val="78909C"/>
          <w:sz w:val="24"/>
          <w:szCs w:val="24"/>
        </w:rPr>
        <w:t>右键目录，选择"更新域"刷新页码。</w:t>
      </w:r>
    </w:p>
    <w:sdt>
      <w:sdtPr>
        <w:alias w:val="目录"/>
        <w:id w:val="147461908"/>
      </w:sdtPr>
      <w:sdtContent>
        <w:p w14:paraId="1AA74E8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D97B7F8">
          <w:pPr>
            <w:tabs>
              <w:tab w:val="right" w:leader="dot" w:pos="9000"/>
            </w:tabs>
            <w:ind w:left="0"/>
          </w:pPr>
          <w:r>
            <w:t>一、文件夹内容说明</w:t>
          </w:r>
          <w:r>
            <w:tab/>
          </w:r>
          <w:r>
            <w:t>1</w:t>
          </w:r>
        </w:p>
        <w:p w14:paraId="5026AE2E">
          <w:pPr>
            <w:tabs>
              <w:tab w:val="right" w:leader="dot" w:pos="9000"/>
            </w:tabs>
            <w:ind w:left="0"/>
          </w:pPr>
          <w:r>
            <w:t>二、核心创新点</w:t>
          </w:r>
          <w:r>
            <w:tab/>
          </w:r>
          <w:r>
            <w:t>2</w:t>
          </w:r>
        </w:p>
        <w:p w14:paraId="07E03A08">
          <w:pPr>
            <w:tabs>
              <w:tab w:val="right" w:leader="dot" w:pos="9000"/>
            </w:tabs>
            <w:ind w:left="0"/>
          </w:pPr>
          <w:r>
            <w:t>三、技术路线：三步走</w:t>
          </w:r>
          <w:r>
            <w:tab/>
          </w:r>
          <w:r>
            <w:t>3</w:t>
          </w:r>
        </w:p>
        <w:p w14:paraId="3D8FC110">
          <w:pPr>
            <w:tabs>
              <w:tab w:val="right" w:leader="dot" w:pos="9000"/>
            </w:tabs>
            <w:ind w:left="0"/>
          </w:pPr>
          <w:r>
            <w:t>四、与原作者的主要区别</w:t>
          </w:r>
          <w:r>
            <w:tab/>
          </w:r>
          <w:r>
            <w:t>4</w:t>
          </w:r>
        </w:p>
        <w:p w14:paraId="7C8B8F3D">
          <w:pPr>
            <w:tabs>
              <w:tab w:val="right" w:leader="dot" w:pos="9000"/>
            </w:tabs>
            <w:ind w:left="0"/>
          </w:pPr>
          <w:r>
            <w:t>五、我们真正要做的事</w:t>
          </w:r>
          <w:r>
            <w:tab/>
          </w:r>
          <w:r>
            <w:t>5</w:t>
          </w:r>
        </w:p>
        <w:p w14:paraId="182A8A4E">
          <w:pPr>
            <w:tabs>
              <w:tab w:val="right" w:leader="dot" w:pos="9000"/>
            </w:tabs>
            <w:ind w:left="0"/>
          </w:pPr>
          <w:r>
            <w:t>六、总结</w:t>
          </w:r>
          <w:r>
            <w:tab/>
          </w:r>
          <w:r>
            <w:t>6</w:t>
          </w:r>
        </w:p>
        <w:p w14:paraId="4E8D9044">
          <w:r>
            <w:fldChar w:fldCharType="end"/>
          </w:r>
        </w:p>
      </w:sdtContent>
    </w:sdt>
    <w:p w14:paraId="1CBCB0D5">
      <w:pPr>
        <w:pStyle w:val="2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263238"/>
          <w:sz w:val="30"/>
          <w:szCs w:val="30"/>
        </w:rPr>
        <w:t>一、文件夹内容说明</w:t>
      </w:r>
    </w:p>
    <w:p w14:paraId="74C27FA7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本文件夹包含以下内容，供您了解我们的数据来源、技术背景及研究思路：</w:t>
      </w:r>
    </w:p>
    <w:p w14:paraId="7FB028E6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患者资料示意（文件夹 1–4）</w:t>
      </w:r>
    </w:p>
    <w:p w14:paraId="1B092517">
      <w:pPr>
        <w:spacing w:after="160" w:line="300" w:lineRule="auto"/>
        <w:ind w:firstLine="4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包含 4 例典型病理性近视患者的配对影像：同一只眼的超广角眼底相（UWF）与术前 OCT。</w:t>
      </w:r>
    </w:p>
    <w:p w14:paraId="2AA5DA6F">
      <w:pPr>
        <w:numPr>
          <w:ilvl w:val="0"/>
          <w:numId w:val="1"/>
        </w:numPr>
        <w:spacing w:after="160" w:line="300" w:lineRule="auto"/>
        <w:ind w:firstLine="475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病理性近视病灶检测与分割数据集</w:t>
      </w:r>
    </w:p>
    <w:p w14:paraId="433300C3">
      <w:pPr>
        <w:numPr>
          <w:numId w:val="0"/>
        </w:numPr>
        <w:spacing w:after="160" w:line="30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包含眼底相原图及对应的病灶标注掩膜（Mask），用于眼底相层面的病灶检测、分割与特征提取训练。</w:t>
      </w:r>
    </w:p>
    <w:p w14:paraId="7C4B0C20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两篇关键参考文献</w:t>
      </w:r>
    </w:p>
    <w:p w14:paraId="7AB6A740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原文（作者工作）：Development of a deep learning algorithm for myopic maculopathy classification based on OCT images using transfer learning（基于 OCT 的深度学习病理性近视分类）。</w:t>
      </w:r>
    </w:p>
    <w:p w14:paraId="480BD790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参考（眼底相方向）：Development of deep learning-based detecting systems for pathologic myopia using retinal fundus images（基于眼底相的深度学习检测系统）。</w:t>
      </w:r>
    </w:p>
    <w:p w14:paraId="795102AE">
      <w:pPr>
        <w:pStyle w:val="2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263238"/>
          <w:sz w:val="30"/>
          <w:szCs w:val="30"/>
        </w:rPr>
        <w:t>二、核心创新点</w:t>
      </w:r>
    </w:p>
    <w:p w14:paraId="2B16EFD7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一句话概括：</w:t>
      </w:r>
    </w:p>
    <w:p w14:paraId="183C411E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b/>
          <w:bCs/>
          <w:color w:val="B71C1C"/>
          <w:sz w:val="24"/>
          <w:szCs w:val="24"/>
        </w:rPr>
        <w:t>用 OCT 作为"老师"，把病理性近视的深层结构信息教给眼底相（或 UWF）模型，最终让基层只拍眼底相，也能判断是否存在黄斑劈裂、中心凹脱离、黄斑裂孔等高危病变，</w:t>
      </w:r>
      <w:r>
        <w:rPr>
          <w:rFonts w:hint="eastAsia" w:ascii="Times New Roman" w:hAnsi="Times New Roman" w:eastAsia="宋体" w:cs="Times New Roman"/>
          <w:b/>
          <w:bCs/>
          <w:color w:val="B71C1C"/>
          <w:sz w:val="24"/>
          <w:szCs w:val="24"/>
          <w:lang w:val="en-US" w:eastAsia="zh-CN"/>
        </w:rPr>
        <w:t>并进行分级，</w:t>
      </w:r>
      <w:r>
        <w:rPr>
          <w:rFonts w:ascii="Times New Roman" w:hAnsi="Times New Roman" w:eastAsia="Times New Roman" w:cs="Times New Roman"/>
          <w:b/>
          <w:bCs/>
          <w:color w:val="B71C1C"/>
          <w:sz w:val="24"/>
          <w:szCs w:val="24"/>
        </w:rPr>
        <w:t>并决定是否需要进一步做 OCT。</w:t>
      </w:r>
    </w:p>
    <w:p w14:paraId="224770FD">
      <w:pPr>
        <w:pStyle w:val="2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263238"/>
          <w:sz w:val="30"/>
          <w:szCs w:val="30"/>
        </w:rPr>
        <w:t>三、技术路线：三步走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"/>
        <w:gridCol w:w="3034"/>
        <w:gridCol w:w="4903"/>
      </w:tblGrid>
      <w:tr w14:paraId="72B0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280D9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步骤</w:t>
            </w:r>
          </w:p>
        </w:tc>
        <w:tc>
          <w:tcPr>
            <w:tcW w:w="36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575E5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内容</w:t>
            </w:r>
          </w:p>
        </w:tc>
        <w:tc>
          <w:tcPr>
            <w:tcW w:w="36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753F8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说明</w:t>
            </w:r>
          </w:p>
        </w:tc>
      </w:tr>
      <w:tr w14:paraId="241BB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C6660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建立配对数据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D63F5F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收集同一只眼的眼底相/UWF 与 OCT，并标注 ATN 分级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3F83EE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构建双模态对齐数据，为知识迁移提供监督信号</w:t>
            </w:r>
          </w:p>
        </w:tc>
      </w:tr>
      <w:tr w14:paraId="1078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2B9EDD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训练双模态模型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E47F1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让模型同时学习眼底相和 OCT，找出两种影像之间的对应关系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8815D4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建立“OCT 结构 ↔ 眼底相表象”的映射</w:t>
            </w:r>
          </w:p>
        </w:tc>
      </w:tr>
      <w:tr w14:paraId="3B914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66ADAF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进行知识蒸馏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2A007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把 OCT 模型学到的结构信息迁移给眼底相模型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227F8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实际应用时，只输入眼底相，即可输出：① T 分级风险；② 是否存在高危牵引性病变；③ 是否建议做 OCT 或转诊</w:t>
            </w:r>
          </w:p>
        </w:tc>
      </w:tr>
    </w:tbl>
    <w:p w14:paraId="0DBD28D1">
      <w:pPr>
        <w:pStyle w:val="2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263238"/>
          <w:sz w:val="30"/>
          <w:szCs w:val="30"/>
        </w:rPr>
        <w:t>四、与原作者的主要区别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4"/>
        <w:gridCol w:w="3441"/>
        <w:gridCol w:w="3551"/>
      </w:tblGrid>
      <w:tr w14:paraId="3A04E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F04A9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维度</w:t>
            </w:r>
          </w:p>
        </w:tc>
        <w:tc>
          <w:tcPr>
            <w:tcW w:w="34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B42F65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原作者工作</w:t>
            </w:r>
          </w:p>
        </w:tc>
        <w:tc>
          <w:tcPr>
            <w:tcW w:w="34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C95ED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我们的工作</w:t>
            </w:r>
          </w:p>
        </w:tc>
      </w:tr>
      <w:tr w14:paraId="37EF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BD8E3B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知识迁移方向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14EF6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眼底相权重 → OCT 模型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5E84B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OCT 结构知识 → 眼底相模型</w:t>
            </w:r>
          </w:p>
        </w:tc>
      </w:tr>
      <w:tr w14:paraId="6A252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679AF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临床应用场景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6E11A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仍需 OCT 才能诊断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1F2FA0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无 OCT 时也能进行风险筛查</w:t>
            </w:r>
          </w:p>
        </w:tc>
      </w:tr>
      <w:tr w14:paraId="4C85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16520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任务粒度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709DD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粗略六分类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B25D56">
            <w:pPr>
              <w:spacing w:after="160" w:line="30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完整 ATN 分级 + 临床转诊决策</w:t>
            </w:r>
          </w:p>
        </w:tc>
      </w:tr>
    </w:tbl>
    <w:p w14:paraId="3E539D77">
      <w:pPr>
        <w:pStyle w:val="2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263238"/>
          <w:sz w:val="30"/>
          <w:szCs w:val="30"/>
        </w:rPr>
        <w:t>五、我们真正要做的事</w:t>
      </w:r>
    </w:p>
    <w:p w14:paraId="214AB541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技术目标更聚焦、临床意义更明确，而非生成“假 OCT”：</w:t>
      </w:r>
    </w:p>
    <w:p w14:paraId="0211A4AB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• 预测黄斑劈裂风险</w:t>
      </w:r>
    </w:p>
    <w:p w14:paraId="6E505CE0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• 预测中心凹脱离风险</w:t>
      </w:r>
    </w:p>
    <w:p w14:paraId="1C622D96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• 预测黄斑裂孔风险</w:t>
      </w:r>
    </w:p>
    <w:p w14:paraId="1FC6A357">
      <w:pPr>
        <w:spacing w:after="160" w:line="300" w:lineRule="auto"/>
        <w:ind w:firstLine="475"/>
        <w:rPr>
          <w:rFonts w:hint="default" w:eastAsia="宋体"/>
          <w:lang w:val="en-US" w:eastAsia="zh-C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• 识别高危 T3–T5 病变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并最好能够做出分级</w:t>
      </w:r>
    </w:p>
    <w:p w14:paraId="22E137D9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• 输出是否需补做 OCT（转诊决策）</w:t>
      </w:r>
    </w:p>
    <w:p w14:paraId="14E0D173">
      <w:pPr>
        <w:pStyle w:val="2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263238"/>
          <w:sz w:val="30"/>
          <w:szCs w:val="30"/>
        </w:rPr>
        <w:t>六、总结</w:t>
      </w:r>
    </w:p>
    <w:p w14:paraId="23377011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技术路线上：从“单模态 OCT 分类”→“双模态对齐学习”→“OCT 知识蒸馏至眼底相模型”，最终落地为基层可用的眼底相筛查工具。</w:t>
      </w:r>
    </w:p>
    <w:p w14:paraId="1AF0E8EA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临床意义上：在缺乏 OCT 的基层场景中，仅凭眼底相就能识别高危病理性近视患者，实现早期预警、精准转诊、避免漏诊。</w:t>
      </w:r>
    </w:p>
    <w:p w14:paraId="05CD8732">
      <w:pPr>
        <w:spacing w:before="360"/>
        <w:jc w:val="right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71DA4">
    <w:pPr>
      <w:spacing w:after="160" w:line="300" w:lineRule="auto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4210F">
    <w:pPr>
      <w:spacing w:after="160" w:line="300" w:lineRule="auto"/>
      <w:jc w:val="center"/>
    </w:pPr>
    <w:r>
      <w:rPr>
        <w:rFonts w:ascii="Times New Roman" w:hAnsi="Times New Roman" w:eastAsia="Times New Roman" w:cs="Times New Roman"/>
        <w:b/>
        <w:bCs/>
        <w:color w:val="37474F"/>
        <w:sz w:val="24"/>
        <w:szCs w:val="24"/>
      </w:rPr>
      <w:t>资料说明及项目创新点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159B9"/>
    <w:multiLevelType w:val="singleLevel"/>
    <w:tmpl w:val="A6D159B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2276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948</Words>
  <Characters>1186</Characters>
  <TotalTime>1</TotalTime>
  <ScaleCrop>false</ScaleCrop>
  <LinksUpToDate>false</LinksUpToDate>
  <CharactersWithSpaces>1292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2026-07-13T04:00:00Z</dcterms:created>
  <dc:creator>Un-named</dc:creator>
  <cp:lastModifiedBy>。</cp:lastModifiedBy>
  <dcterms:modified xsi:type="dcterms:W3CDTF">2026-07-13T04:03:00Z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eyJoZGlkIjoiODdiYzU3YmVkYjBhN2E2YTM5MGQyN2JiMDU5MzMxZmYiLCJ1c2VySWQiOiI1MzYxMzkyOTcifQ==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ECE8A2E734B844629CED35002B25A77F_12</vt:lpwstr>
  </property>
</Properties>
</file>