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E29BD2">
      <w:pPr>
        <w:jc w:val="right"/>
        <w:rPr>
          <w:b/>
          <w:bCs/>
          <w:sz w:val="21"/>
          <w:szCs w:val="21"/>
          <w:u w:val="single"/>
        </w:rPr>
      </w:pPr>
      <w:r>
        <w:rPr>
          <w:rFonts w:hint="eastAsia"/>
          <w:b/>
          <w:bCs/>
          <w:sz w:val="21"/>
          <w:szCs w:val="21"/>
        </w:rPr>
        <w:t>合同编号：RGZN20260209ZSGS01</w:t>
      </w:r>
    </w:p>
    <w:p w14:paraId="3309F4D7">
      <w:pPr>
        <w:jc w:val="center"/>
        <w:rPr>
          <w:b/>
          <w:bCs/>
          <w:sz w:val="36"/>
          <w:szCs w:val="36"/>
        </w:rPr>
      </w:pPr>
      <w:r>
        <w:rPr>
          <w:rFonts w:hint="eastAsia"/>
          <w:b/>
          <w:bCs/>
          <w:sz w:val="36"/>
          <w:szCs w:val="36"/>
        </w:rPr>
        <w:t>项目开发服务合同</w:t>
      </w:r>
    </w:p>
    <w:p w14:paraId="2135C5B0"/>
    <w:p w14:paraId="507807BD">
      <w:pPr>
        <w:rPr>
          <w:b/>
          <w:bCs/>
          <w:u w:val="single"/>
        </w:rPr>
      </w:pPr>
      <w:r>
        <w:rPr>
          <w:rFonts w:hint="eastAsia"/>
          <w:b/>
          <w:bCs/>
        </w:rPr>
        <w:t>需方（甲方）：</w:t>
      </w:r>
      <w:r>
        <w:rPr>
          <w:rFonts w:hint="eastAsia"/>
          <w:u w:val="single"/>
        </w:rPr>
        <w:t xml:space="preserve">  天津智算数字产业发展有限公司  </w:t>
      </w:r>
    </w:p>
    <w:p w14:paraId="16ACAFCF"/>
    <w:p w14:paraId="6A17C90D">
      <w:pPr>
        <w:rPr>
          <w:u w:val="single"/>
        </w:rPr>
      </w:pPr>
      <w:r>
        <w:rPr>
          <w:rFonts w:hint="eastAsia"/>
          <w:b/>
          <w:bCs/>
        </w:rPr>
        <w:t>供方（乙方）：</w:t>
      </w:r>
      <w:r>
        <w:rPr>
          <w:rFonts w:hint="eastAsia"/>
          <w:u w:val="single"/>
        </w:rPr>
        <w:t xml:space="preserve">  </w:t>
      </w:r>
      <w:bookmarkStart w:id="3" w:name="_GoBack"/>
      <w:r>
        <w:rPr>
          <w:rFonts w:hint="eastAsia"/>
          <w:u w:val="single"/>
        </w:rPr>
        <w:t>海康</w:t>
      </w:r>
      <w:bookmarkEnd w:id="3"/>
      <w:r>
        <w:rPr>
          <w:rFonts w:hint="eastAsia"/>
          <w:u w:val="single"/>
        </w:rPr>
        <w:t xml:space="preserve">（天津）弱电工程有限公司  </w:t>
      </w:r>
    </w:p>
    <w:p w14:paraId="677C585A"/>
    <w:p w14:paraId="10DF7FA2">
      <w:pPr>
        <w:ind w:firstLine="480" w:firstLineChars="200"/>
        <w:rPr>
          <w:bCs/>
          <w:iCs/>
        </w:rPr>
      </w:pPr>
      <w:r>
        <w:rPr>
          <w:rFonts w:hint="eastAsia"/>
          <w:bCs/>
          <w:iCs/>
        </w:rPr>
        <w:t>根据《中华人民共和国民法典》及相关法律法规的规定，甲乙双方在平等、自愿、公平、协商一致的基础上，就甲方委托乙方提供系统集成服务有关事宜达成如下协议：</w:t>
      </w:r>
    </w:p>
    <w:p w14:paraId="379471AB">
      <w:pPr>
        <w:pStyle w:val="2"/>
        <w:spacing w:before="156" w:beforeLines="50" w:after="156" w:afterLines="50"/>
        <w:jc w:val="both"/>
        <w:rPr>
          <w:b w:val="0"/>
          <w:bCs w:val="0"/>
          <w:sz w:val="28"/>
          <w:szCs w:val="28"/>
        </w:rPr>
      </w:pPr>
      <w:bookmarkStart w:id="0" w:name="_Toc185394595"/>
      <w:r>
        <w:rPr>
          <w:rFonts w:hint="eastAsia"/>
          <w:b w:val="0"/>
          <w:bCs w:val="0"/>
          <w:sz w:val="28"/>
          <w:szCs w:val="28"/>
        </w:rPr>
        <w:t>第一条  服务内容</w:t>
      </w:r>
      <w:bookmarkEnd w:id="0"/>
    </w:p>
    <w:p w14:paraId="71BA31F0">
      <w:pPr>
        <w:ind w:firstLine="480" w:firstLineChars="200"/>
        <w:rPr>
          <w:bCs/>
          <w:iCs/>
        </w:rPr>
      </w:pPr>
      <w:r>
        <w:rPr>
          <w:rFonts w:hint="eastAsia"/>
          <w:bCs/>
          <w:iCs/>
        </w:rPr>
        <w:t>1、甲方委托乙方提供关于压滤机数智化系统的研发服务（以下称“本项目”）。本项目的整体功能应当符合相关文件中规定的各项技术指标和技术参数要求。</w:t>
      </w:r>
    </w:p>
    <w:p w14:paraId="1C55258A">
      <w:pPr>
        <w:ind w:firstLine="480" w:firstLineChars="200"/>
        <w:rPr>
          <w:bCs/>
          <w:iCs/>
        </w:rPr>
      </w:pPr>
      <w:r>
        <w:rPr>
          <w:rFonts w:hint="eastAsia"/>
          <w:bCs/>
          <w:iCs/>
        </w:rPr>
        <w:t>2、服务内容：</w:t>
      </w:r>
    </w:p>
    <w:p w14:paraId="7CF256A1">
      <w:pPr>
        <w:ind w:firstLine="480" w:firstLineChars="200"/>
        <w:rPr>
          <w:bCs/>
          <w:iCs/>
        </w:rPr>
      </w:pPr>
      <w:r>
        <w:rPr>
          <w:rFonts w:hint="eastAsia"/>
          <w:bCs/>
          <w:iCs/>
        </w:rPr>
        <w:t>为客户提供压滤机数智化系统中压滤机模型及运营平台模块的研发服务，具体服务内容详见附件。</w:t>
      </w:r>
    </w:p>
    <w:p w14:paraId="1A601280">
      <w:pPr>
        <w:ind w:firstLine="480" w:firstLineChars="200"/>
        <w:rPr>
          <w:bCs/>
          <w:iCs/>
        </w:rPr>
      </w:pPr>
      <w:r>
        <w:rPr>
          <w:rFonts w:hint="eastAsia"/>
          <w:bCs/>
          <w:iCs/>
        </w:rPr>
        <w:t>3、项目实施期限：</w:t>
      </w:r>
    </w:p>
    <w:p w14:paraId="5C6C01EB">
      <w:pPr>
        <w:ind w:firstLine="480" w:firstLineChars="200"/>
        <w:rPr>
          <w:bCs/>
          <w:iCs/>
        </w:rPr>
      </w:pPr>
      <w:r>
        <w:rPr>
          <w:rFonts w:hint="eastAsia"/>
          <w:bCs/>
          <w:iCs/>
        </w:rPr>
        <w:t>签订合同之日起，5个工作日内人员进场，3个月内交付，验收合格后提供三年7*24小时线上免费质保。</w:t>
      </w:r>
    </w:p>
    <w:p w14:paraId="0A0FA98E">
      <w:pPr>
        <w:pStyle w:val="2"/>
        <w:spacing w:before="156" w:beforeLines="50" w:after="156" w:afterLines="50"/>
        <w:jc w:val="both"/>
        <w:rPr>
          <w:b w:val="0"/>
          <w:bCs w:val="0"/>
          <w:sz w:val="28"/>
          <w:szCs w:val="28"/>
        </w:rPr>
      </w:pPr>
      <w:bookmarkStart w:id="1" w:name="_Toc185394596"/>
      <w:r>
        <w:rPr>
          <w:rFonts w:hint="eastAsia"/>
          <w:b w:val="0"/>
          <w:bCs w:val="0"/>
          <w:sz w:val="28"/>
          <w:szCs w:val="28"/>
        </w:rPr>
        <w:t>第二条 合同价款及付款方式</w:t>
      </w:r>
      <w:bookmarkEnd w:id="1"/>
    </w:p>
    <w:p w14:paraId="14E661B7">
      <w:pPr>
        <w:adjustRightInd w:val="0"/>
        <w:snapToGrid w:val="0"/>
        <w:spacing w:line="480" w:lineRule="exact"/>
        <w:ind w:firstLine="480" w:firstLineChars="200"/>
      </w:pPr>
      <w:r>
        <w:rPr>
          <w:rFonts w:hint="eastAsia"/>
        </w:rPr>
        <w:t>1、合同金额</w:t>
      </w:r>
    </w:p>
    <w:p w14:paraId="2D32EC5E">
      <w:pPr>
        <w:adjustRightInd w:val="0"/>
        <w:snapToGrid w:val="0"/>
        <w:spacing w:line="480" w:lineRule="exact"/>
        <w:ind w:firstLine="480" w:firstLineChars="200"/>
      </w:pPr>
      <w:r>
        <w:rPr>
          <w:rFonts w:hint="eastAsia"/>
        </w:rPr>
        <w:t>本合同含税总金额为495000元（大写：人民币肆拾玖万伍仟元整），增值税税率为6%。</w:t>
      </w:r>
    </w:p>
    <w:p w14:paraId="27C1B8A4">
      <w:pPr>
        <w:adjustRightInd w:val="0"/>
        <w:snapToGrid w:val="0"/>
        <w:spacing w:line="480" w:lineRule="exact"/>
        <w:ind w:firstLine="480" w:firstLineChars="200"/>
      </w:pPr>
      <w:r>
        <w:rPr>
          <w:rFonts w:hint="eastAsia"/>
        </w:rPr>
        <w:t>2、开票</w:t>
      </w:r>
    </w:p>
    <w:p w14:paraId="10E9215A">
      <w:pPr>
        <w:adjustRightInd w:val="0"/>
        <w:snapToGrid w:val="0"/>
        <w:spacing w:line="480" w:lineRule="exact"/>
        <w:ind w:firstLine="480" w:firstLineChars="200"/>
      </w:pPr>
      <w:r>
        <w:rPr>
          <w:rFonts w:hint="eastAsia"/>
        </w:rPr>
        <w:t>合同签订后，3个工作日内，乙方按合同金额向甲方开具增值税专用发票。甲方开票信息如下：</w:t>
      </w:r>
    </w:p>
    <w:p w14:paraId="5AF85738">
      <w:pPr>
        <w:adjustRightInd w:val="0"/>
        <w:snapToGrid w:val="0"/>
        <w:spacing w:line="480" w:lineRule="exact"/>
        <w:ind w:firstLine="480" w:firstLineChars="200"/>
      </w:pPr>
      <w:r>
        <w:t>公司名：</w:t>
      </w:r>
      <w:r>
        <w:rPr>
          <w:u w:val="single"/>
        </w:rPr>
        <w:t>天津智算数字产业发展有限公司</w:t>
      </w:r>
    </w:p>
    <w:p w14:paraId="5A17D8C5">
      <w:pPr>
        <w:adjustRightInd w:val="0"/>
        <w:snapToGrid w:val="0"/>
        <w:spacing w:line="480" w:lineRule="exact"/>
        <w:ind w:firstLine="480" w:firstLineChars="200"/>
      </w:pPr>
      <w:r>
        <w:t>统一社会信用代码：</w:t>
      </w:r>
      <w:r>
        <w:rPr>
          <w:u w:val="single"/>
        </w:rPr>
        <w:t>91120105MAC79J3G6B</w:t>
      </w:r>
    </w:p>
    <w:p w14:paraId="4EFD800B">
      <w:pPr>
        <w:adjustRightInd w:val="0"/>
        <w:snapToGrid w:val="0"/>
        <w:spacing w:line="480" w:lineRule="exact"/>
        <w:ind w:firstLine="480" w:firstLineChars="200"/>
      </w:pPr>
      <w:r>
        <w:t>注册地址：</w:t>
      </w:r>
      <w:r>
        <w:rPr>
          <w:u w:val="single"/>
        </w:rPr>
        <w:t>天津市河北区铁东路街咏贤道76号</w:t>
      </w:r>
    </w:p>
    <w:p w14:paraId="5FCDFA9B">
      <w:pPr>
        <w:adjustRightInd w:val="0"/>
        <w:snapToGrid w:val="0"/>
        <w:spacing w:line="480" w:lineRule="exact"/>
        <w:ind w:firstLine="480" w:firstLineChars="200"/>
      </w:pPr>
      <w:r>
        <w:t>账号：</w:t>
      </w:r>
      <w:r>
        <w:rPr>
          <w:u w:val="single"/>
        </w:rPr>
        <w:t xml:space="preserve">1201 1010 1000 0260 46 </w:t>
      </w:r>
    </w:p>
    <w:p w14:paraId="754FD528">
      <w:pPr>
        <w:adjustRightInd w:val="0"/>
        <w:snapToGrid w:val="0"/>
        <w:spacing w:line="480" w:lineRule="exact"/>
        <w:ind w:firstLine="480" w:firstLineChars="200"/>
      </w:pPr>
      <w:r>
        <w:t>开户行：</w:t>
      </w:r>
      <w:r>
        <w:rPr>
          <w:u w:val="single"/>
        </w:rPr>
        <w:t>天津银行第五中心支行</w:t>
      </w:r>
    </w:p>
    <w:p w14:paraId="7EC70160">
      <w:pPr>
        <w:adjustRightInd w:val="0"/>
        <w:snapToGrid w:val="0"/>
        <w:spacing w:line="480" w:lineRule="exact"/>
        <w:ind w:firstLine="480" w:firstLineChars="200"/>
      </w:pPr>
      <w:r>
        <w:rPr>
          <w:rFonts w:hint="eastAsia"/>
        </w:rPr>
        <w:t>3、付款方式和期限</w:t>
      </w:r>
    </w:p>
    <w:p w14:paraId="0FE37561">
      <w:pPr>
        <w:adjustRightInd w:val="0"/>
        <w:snapToGrid w:val="0"/>
        <w:spacing w:line="480" w:lineRule="exact"/>
        <w:ind w:firstLine="480" w:firstLineChars="200"/>
      </w:pPr>
      <w:r>
        <w:rPr>
          <w:rFonts w:hint="eastAsia"/>
        </w:rPr>
        <w:t>甲方收到乙方发票3个工作日内，按发票金额一次性支付全部款项。乙方收款信息如下：</w:t>
      </w:r>
    </w:p>
    <w:p w14:paraId="3CC2A0AC">
      <w:pPr>
        <w:adjustRightInd w:val="0"/>
        <w:snapToGrid w:val="0"/>
        <w:spacing w:line="480" w:lineRule="exact"/>
        <w:ind w:firstLine="480" w:firstLineChars="200"/>
      </w:pPr>
      <w:r>
        <w:rPr>
          <w:rFonts w:hint="eastAsia"/>
        </w:rPr>
        <w:t>账户</w:t>
      </w:r>
      <w:r>
        <w:t>：</w:t>
      </w:r>
      <w:r>
        <w:rPr>
          <w:rFonts w:hint="eastAsia"/>
          <w:u w:val="single"/>
        </w:rPr>
        <w:t>海康（天津）弱电工程有限公司</w:t>
      </w:r>
    </w:p>
    <w:p w14:paraId="23209B3F">
      <w:pPr>
        <w:adjustRightInd w:val="0"/>
        <w:snapToGrid w:val="0"/>
        <w:spacing w:line="480" w:lineRule="exact"/>
        <w:ind w:firstLine="480" w:firstLineChars="200"/>
      </w:pPr>
      <w:r>
        <w:t>账号：</w:t>
      </w:r>
      <w:r>
        <w:rPr>
          <w:u w:val="single"/>
        </w:rPr>
        <w:t>120066037013001857881</w:t>
      </w:r>
    </w:p>
    <w:p w14:paraId="2AA97BB4">
      <w:pPr>
        <w:adjustRightInd w:val="0"/>
        <w:snapToGrid w:val="0"/>
        <w:spacing w:line="480" w:lineRule="exact"/>
        <w:ind w:firstLine="480" w:firstLineChars="200"/>
      </w:pPr>
      <w:r>
        <w:t>开户行：</w:t>
      </w:r>
      <w:r>
        <w:rPr>
          <w:rFonts w:hint="eastAsia"/>
          <w:u w:val="single"/>
        </w:rPr>
        <w:t>交通银行天津市分行</w:t>
      </w:r>
      <w:r>
        <w:t xml:space="preserve">    </w:t>
      </w:r>
    </w:p>
    <w:p w14:paraId="219D8F2E">
      <w:pPr>
        <w:adjustRightInd w:val="0"/>
        <w:snapToGrid w:val="0"/>
        <w:spacing w:line="480" w:lineRule="exact"/>
        <w:ind w:firstLine="480" w:firstLineChars="200"/>
      </w:pPr>
      <w:r>
        <w:rPr>
          <w:rFonts w:hint="eastAsia"/>
        </w:rPr>
        <w:t>支付行号</w:t>
      </w:r>
      <w:r>
        <w:rPr>
          <w:u w:val="single"/>
        </w:rPr>
        <w:t>301110000721</w:t>
      </w:r>
    </w:p>
    <w:p w14:paraId="3A6463A3">
      <w:pPr>
        <w:pStyle w:val="2"/>
        <w:spacing w:before="156" w:beforeLines="50" w:after="156" w:afterLines="50"/>
        <w:jc w:val="both"/>
        <w:rPr>
          <w:b w:val="0"/>
          <w:bCs w:val="0"/>
          <w:sz w:val="28"/>
          <w:szCs w:val="28"/>
        </w:rPr>
      </w:pPr>
      <w:r>
        <w:rPr>
          <w:rFonts w:hint="eastAsia"/>
          <w:b w:val="0"/>
          <w:bCs w:val="0"/>
          <w:sz w:val="28"/>
          <w:szCs w:val="28"/>
        </w:rPr>
        <w:t>第三条 项目实施</w:t>
      </w:r>
    </w:p>
    <w:p w14:paraId="0128BA77">
      <w:pPr>
        <w:adjustRightInd w:val="0"/>
        <w:snapToGrid w:val="0"/>
        <w:spacing w:line="480" w:lineRule="exact"/>
        <w:ind w:firstLine="480" w:firstLineChars="200"/>
      </w:pPr>
      <w:r>
        <w:rPr>
          <w:rFonts w:hint="eastAsia"/>
        </w:rPr>
        <w:t>1、信息与资料提供</w:t>
      </w:r>
    </w:p>
    <w:p w14:paraId="0AA71162">
      <w:pPr>
        <w:adjustRightInd w:val="0"/>
        <w:snapToGrid w:val="0"/>
        <w:spacing w:line="480" w:lineRule="exact"/>
        <w:ind w:firstLine="480" w:firstLineChars="200"/>
      </w:pPr>
      <w:r>
        <w:rPr>
          <w:rFonts w:hint="eastAsia"/>
        </w:rPr>
        <w:t>1）乙方有权向甲方有关职能人员调查、了解现有的相关信息和资料，以对本项目进行全面的研究和设计；甲方应当予以配合。</w:t>
      </w:r>
    </w:p>
    <w:p w14:paraId="0C8E13C4">
      <w:pPr>
        <w:adjustRightInd w:val="0"/>
        <w:snapToGrid w:val="0"/>
        <w:spacing w:line="480" w:lineRule="exact"/>
        <w:ind w:firstLine="480" w:firstLineChars="200"/>
      </w:pPr>
      <w:r>
        <w:rPr>
          <w:rFonts w:hint="eastAsia"/>
        </w:rPr>
        <w:t>2）乙方认为甲方提供的信息和资料不符合本项目要求的，有权书面通知甲方补齐补正。甲方未按照约定补齐、补正，也未做出合理解释的，延误的工期相应顺延。</w:t>
      </w:r>
    </w:p>
    <w:p w14:paraId="4BC8D9E8">
      <w:pPr>
        <w:adjustRightInd w:val="0"/>
        <w:snapToGrid w:val="0"/>
        <w:spacing w:line="480" w:lineRule="exact"/>
        <w:ind w:firstLine="480" w:firstLineChars="200"/>
      </w:pPr>
      <w:r>
        <w:rPr>
          <w:rFonts w:hint="eastAsia"/>
        </w:rPr>
        <w:t>2、本项目环境提供</w:t>
      </w:r>
    </w:p>
    <w:p w14:paraId="5F38181D">
      <w:pPr>
        <w:adjustRightInd w:val="0"/>
        <w:snapToGrid w:val="0"/>
        <w:spacing w:line="480" w:lineRule="exact"/>
        <w:ind w:firstLine="480" w:firstLineChars="200"/>
      </w:pPr>
      <w:r>
        <w:rPr>
          <w:rFonts w:hint="eastAsia"/>
        </w:rPr>
        <w:t>乙方依据项目进度，在甲方所需的合理时间之内，提前10-15个工作日以书面形式通知甲方提供相应环境。甲方应当依据本项目实施的条件、性质及乙方的要求提供集成环境。甲方未能提供的，延误的工期相应顺延，造成乙方损失的，甲方应当承担赔偿责任。</w:t>
      </w:r>
    </w:p>
    <w:p w14:paraId="555A790C">
      <w:pPr>
        <w:adjustRightInd w:val="0"/>
        <w:snapToGrid w:val="0"/>
        <w:spacing w:line="480" w:lineRule="exact"/>
        <w:ind w:firstLine="480" w:firstLineChars="200"/>
      </w:pPr>
      <w:r>
        <w:rPr>
          <w:rFonts w:hint="eastAsia"/>
        </w:rPr>
        <w:t>1、乙方在项目验收前3天将验收报告送甲方。甲方在收到报告后3天内组织验收，无正当理由在收到报告后30天内不组织验收或不予批准且不能提出修改意见，可视为竣工验收报告已被批准。验收合格后，项目正式交付给甲方。</w:t>
      </w:r>
    </w:p>
    <w:p w14:paraId="07B9FE75">
      <w:pPr>
        <w:adjustRightInd w:val="0"/>
        <w:snapToGrid w:val="0"/>
        <w:spacing w:line="480" w:lineRule="exact"/>
        <w:ind w:firstLine="480" w:firstLineChars="200"/>
      </w:pPr>
      <w:r>
        <w:rPr>
          <w:rFonts w:hint="eastAsia"/>
        </w:rPr>
        <w:t>2、甲方无正当理由未在收到报告后30天内内组织验收或提出修改意见的，自期限届满之日起视为本项目竣工验收合格。</w:t>
      </w:r>
    </w:p>
    <w:p w14:paraId="7AE67265">
      <w:pPr>
        <w:adjustRightInd w:val="0"/>
        <w:snapToGrid w:val="0"/>
        <w:spacing w:line="480" w:lineRule="exact"/>
        <w:ind w:firstLine="480" w:firstLineChars="200"/>
      </w:pPr>
      <w:r>
        <w:rPr>
          <w:rFonts w:hint="eastAsia"/>
        </w:rPr>
        <w:t>3、本项目未经竣工验收的，甲方不得使用。甲方强行使用的，发生的质量等方面责任由甲方承担。</w:t>
      </w:r>
    </w:p>
    <w:p w14:paraId="07E2CE49">
      <w:pPr>
        <w:pStyle w:val="2"/>
        <w:spacing w:before="156" w:beforeLines="50" w:after="156" w:afterLines="50"/>
        <w:jc w:val="both"/>
        <w:rPr>
          <w:b w:val="0"/>
          <w:bCs w:val="0"/>
          <w:sz w:val="28"/>
          <w:szCs w:val="28"/>
        </w:rPr>
      </w:pPr>
      <w:r>
        <w:rPr>
          <w:rFonts w:hint="eastAsia"/>
          <w:b w:val="0"/>
          <w:bCs w:val="0"/>
          <w:sz w:val="28"/>
          <w:szCs w:val="28"/>
        </w:rPr>
        <w:t>第五条 违约责任和争议解决</w:t>
      </w:r>
    </w:p>
    <w:p w14:paraId="560E9213">
      <w:pPr>
        <w:adjustRightInd w:val="0"/>
        <w:snapToGrid w:val="0"/>
        <w:spacing w:line="480" w:lineRule="exact"/>
        <w:ind w:firstLine="480" w:firstLineChars="200"/>
      </w:pPr>
      <w:r>
        <w:rPr>
          <w:rFonts w:hint="eastAsia"/>
        </w:rPr>
        <w:t>1、本合同生效后，甲乙双方均应当全面履行合同义务。任何一方违约，均应当按照约定承担违约责任，并赔偿对方由此受到的损失。其中：</w:t>
      </w:r>
    </w:p>
    <w:p w14:paraId="374AA336">
      <w:pPr>
        <w:adjustRightInd w:val="0"/>
        <w:snapToGrid w:val="0"/>
        <w:spacing w:line="480" w:lineRule="exact"/>
        <w:ind w:firstLine="480" w:firstLineChars="200"/>
      </w:pPr>
      <w:r>
        <w:rPr>
          <w:rFonts w:hint="eastAsia"/>
        </w:rPr>
        <w:t>1）乙方无正当理由逾期交付，自逾期第十天的次日起，每逾期一日，乙方应当按1年期贷款市场报价利率向甲方支付逾期部分价款的违约金，但违约金总数不得超过合同总价款的5%。逾期超过三十日的，视为乙方不履行。</w:t>
      </w:r>
    </w:p>
    <w:p w14:paraId="32B703D0">
      <w:pPr>
        <w:adjustRightInd w:val="0"/>
        <w:snapToGrid w:val="0"/>
        <w:spacing w:line="480" w:lineRule="exact"/>
        <w:ind w:firstLine="480" w:firstLineChars="200"/>
      </w:pPr>
      <w:r>
        <w:rPr>
          <w:rFonts w:hint="eastAsia"/>
        </w:rPr>
        <w:t>2）甲方逾期付款，自应付款之日的第十天的次日起，每逾期一日，甲方应当按一年期贷款市场报价利率向乙方支付逾期应付款的违约金，但违约金总数不得超过合同总价款的5%。逾期超过三十日，视为甲方不履行，乙方有权解除合同，并有权要求甲方一次性支付全部合同价款。</w:t>
      </w:r>
    </w:p>
    <w:p w14:paraId="01341431">
      <w:pPr>
        <w:adjustRightInd w:val="0"/>
        <w:snapToGrid w:val="0"/>
        <w:spacing w:line="480" w:lineRule="exact"/>
        <w:ind w:firstLine="480" w:firstLineChars="200"/>
      </w:pPr>
      <w:r>
        <w:rPr>
          <w:rFonts w:hint="eastAsia"/>
        </w:rPr>
        <w:t>2、甲乙双方在合同执行过程中发生争议，当事人应本着协商的原则解决，协商不成时，诉讼至乙方所在地人民法院解决。</w:t>
      </w:r>
    </w:p>
    <w:p w14:paraId="5E8EA4B8">
      <w:pPr>
        <w:pStyle w:val="2"/>
        <w:spacing w:before="156" w:beforeLines="50" w:after="156" w:afterLines="50"/>
        <w:jc w:val="both"/>
        <w:rPr>
          <w:b w:val="0"/>
          <w:bCs w:val="0"/>
          <w:sz w:val="28"/>
          <w:szCs w:val="28"/>
        </w:rPr>
      </w:pPr>
      <w:r>
        <w:rPr>
          <w:rFonts w:hint="eastAsia"/>
          <w:b w:val="0"/>
          <w:bCs w:val="0"/>
          <w:sz w:val="28"/>
          <w:szCs w:val="28"/>
        </w:rPr>
        <w:t>第六条 知识产权和品牌保护</w:t>
      </w:r>
    </w:p>
    <w:p w14:paraId="143B5C23">
      <w:pPr>
        <w:ind w:firstLine="480" w:firstLineChars="200"/>
        <w:rPr>
          <w:bCs/>
          <w:iCs/>
        </w:rPr>
      </w:pPr>
      <w:r>
        <w:rPr>
          <w:rFonts w:hint="eastAsia"/>
          <w:bCs/>
          <w:iCs/>
        </w:rPr>
        <w:t>1、乙方根据本合同为甲方提供的技术开发成果（包括但不限于软件、文档、设计、代码、算法及相关技术资料，以下简称“开发成果”）的知识产权（包括但不限于著作权、专利权、技术秘密等）归甲方所有。</w:t>
      </w:r>
    </w:p>
    <w:p w14:paraId="3953A1B7">
      <w:pPr>
        <w:ind w:firstLine="480" w:firstLineChars="200"/>
        <w:rPr>
          <w:bCs/>
          <w:iCs/>
        </w:rPr>
      </w:pPr>
      <w:r>
        <w:rPr>
          <w:rFonts w:hint="eastAsia"/>
          <w:bCs/>
          <w:iCs/>
        </w:rPr>
        <w:t>2、乙方可在其宣传材料、案例展示等场合为说明其服务能力之目的，合理使用本项目名称、甲方企业名称及开发成果的非核心部分，但不得损害甲方商誉、泄露甲方商业秘密或影响甲方正常使用该开发成果。</w:t>
      </w:r>
    </w:p>
    <w:p w14:paraId="10802A27">
      <w:pPr>
        <w:ind w:firstLine="480" w:firstLineChars="200"/>
        <w:rPr>
          <w:bCs/>
          <w:iCs/>
        </w:rPr>
      </w:pPr>
      <w:r>
        <w:rPr>
          <w:rFonts w:hint="eastAsia"/>
          <w:bCs/>
          <w:iCs/>
        </w:rPr>
        <w:t>3、未经甲方书面同意，乙方不得将开发成果用于其他商业目的或向第三方转让、许可使用。</w:t>
      </w:r>
    </w:p>
    <w:p w14:paraId="375B7851">
      <w:pPr>
        <w:ind w:firstLine="480" w:firstLineChars="200"/>
        <w:rPr>
          <w:bCs/>
          <w:iCs/>
        </w:rPr>
      </w:pPr>
      <w:r>
        <w:rPr>
          <w:rFonts w:hint="eastAsia"/>
          <w:bCs/>
          <w:iCs/>
        </w:rPr>
        <w:t>4、乙方应保证其提供的开发成果不侵犯任何第三方的知识产权，如因开发成果引发知识产权纠纷，由乙方承担全部责任。</w:t>
      </w:r>
    </w:p>
    <w:p w14:paraId="6BE22153">
      <w:pPr>
        <w:pStyle w:val="2"/>
        <w:spacing w:before="156" w:beforeLines="50" w:after="156" w:afterLines="50"/>
        <w:jc w:val="both"/>
        <w:rPr>
          <w:b w:val="0"/>
          <w:bCs w:val="0"/>
          <w:sz w:val="28"/>
          <w:szCs w:val="28"/>
        </w:rPr>
      </w:pPr>
      <w:r>
        <w:rPr>
          <w:rFonts w:hint="eastAsia"/>
          <w:b w:val="0"/>
          <w:bCs w:val="0"/>
          <w:sz w:val="28"/>
          <w:szCs w:val="28"/>
        </w:rPr>
        <w:t>第七条 保密责任与义务</w:t>
      </w:r>
    </w:p>
    <w:p w14:paraId="0962213E">
      <w:pPr>
        <w:ind w:firstLine="480" w:firstLineChars="200"/>
        <w:rPr>
          <w:bCs/>
          <w:iCs/>
        </w:rPr>
      </w:pPr>
      <w:r>
        <w:rPr>
          <w:rFonts w:hint="eastAsia"/>
          <w:bCs/>
          <w:iCs/>
        </w:rPr>
        <w:t>双方均应对因履行本合同所知悉的对方商业秘密和技术信息承担保密义务，未经对方书面同意不得向任何第三方披露，法律法规另有规定或为实现本合同目的所需的除外。</w:t>
      </w:r>
    </w:p>
    <w:p w14:paraId="2D15CBCC">
      <w:pPr>
        <w:pStyle w:val="2"/>
        <w:spacing w:before="156" w:beforeLines="50" w:after="156" w:afterLines="50"/>
        <w:jc w:val="both"/>
        <w:rPr>
          <w:b w:val="0"/>
          <w:bCs w:val="0"/>
          <w:sz w:val="28"/>
          <w:szCs w:val="28"/>
        </w:rPr>
      </w:pPr>
      <w:r>
        <w:rPr>
          <w:rFonts w:hint="eastAsia"/>
          <w:b w:val="0"/>
          <w:bCs w:val="0"/>
          <w:sz w:val="28"/>
          <w:szCs w:val="28"/>
        </w:rPr>
        <w:t>第八条 送达条款</w:t>
      </w:r>
    </w:p>
    <w:p w14:paraId="102C749E">
      <w:pPr>
        <w:ind w:firstLine="480" w:firstLineChars="200"/>
        <w:rPr>
          <w:bCs/>
          <w:iCs/>
        </w:rPr>
      </w:pPr>
      <w:r>
        <w:rPr>
          <w:rFonts w:hint="eastAsia"/>
          <w:bCs/>
          <w:iCs/>
        </w:rPr>
        <w:t>甲方与乙方就合同中涉及各类通知、协议等文件以及就合同发生纠纷时相关文件和法律文书送达时的送达地址及法律后果作如下约定：</w:t>
      </w:r>
    </w:p>
    <w:p w14:paraId="55D09FCC">
      <w:pPr>
        <w:ind w:firstLine="480" w:firstLineChars="200"/>
        <w:rPr>
          <w:bCs/>
          <w:iCs/>
        </w:rPr>
      </w:pPr>
      <w:r>
        <w:rPr>
          <w:rFonts w:hint="eastAsia"/>
          <w:bCs/>
          <w:iCs/>
        </w:rPr>
        <w:t>1、甲方确认其有效的送达地址为：</w:t>
      </w:r>
      <w:r>
        <w:rPr>
          <w:rFonts w:hint="eastAsia"/>
          <w:bCs/>
          <w:iCs/>
          <w:u w:val="single"/>
        </w:rPr>
        <w:t>天津市河北区志成路130号钉钉理想园308</w:t>
      </w:r>
      <w:r>
        <w:rPr>
          <w:rFonts w:hint="eastAsia"/>
          <w:bCs/>
          <w:iCs/>
        </w:rPr>
        <w:t xml:space="preserve"> </w:t>
      </w:r>
    </w:p>
    <w:p w14:paraId="216E3C5B">
      <w:pPr>
        <w:ind w:firstLine="480" w:firstLineChars="200"/>
        <w:rPr>
          <w:bCs/>
          <w:iCs/>
          <w:u w:val="single"/>
        </w:rPr>
      </w:pPr>
      <w:r>
        <w:rPr>
          <w:rFonts w:hint="eastAsia"/>
          <w:bCs/>
          <w:iCs/>
        </w:rPr>
        <w:t>2、乙方确认其有效的送达地址为：</w:t>
      </w:r>
      <w:r>
        <w:rPr>
          <w:rFonts w:hint="eastAsia"/>
          <w:bCs/>
          <w:iCs/>
          <w:u w:val="single"/>
        </w:rPr>
        <w:t>天津市宝坻区宝平街道艺馨佳苑商业</w:t>
      </w:r>
      <w:r>
        <w:rPr>
          <w:bCs/>
          <w:iCs/>
          <w:u w:val="single"/>
        </w:rPr>
        <w:t>8-124</w:t>
      </w:r>
    </w:p>
    <w:p w14:paraId="6E8D1BFF">
      <w:pPr>
        <w:ind w:firstLine="480" w:firstLineChars="200"/>
        <w:rPr>
          <w:bCs/>
          <w:iCs/>
        </w:rPr>
      </w:pPr>
      <w:r>
        <w:rPr>
          <w:rFonts w:hint="eastAsia"/>
          <w:bCs/>
          <w:iCs/>
        </w:rPr>
        <w:t>3、双方该送达地址适用范围包括双方非诉时各类通知、协议等文件以及就合同发生纠纷时相关文件和法律文书的送达，同时包括在争议进入仲裁、民事诉讼程序后的一审、二审、再审和执行程序。</w:t>
      </w:r>
    </w:p>
    <w:p w14:paraId="6F0C27A1">
      <w:pPr>
        <w:ind w:firstLine="480" w:firstLineChars="200"/>
        <w:rPr>
          <w:bCs/>
          <w:iCs/>
        </w:rPr>
      </w:pPr>
      <w:r>
        <w:rPr>
          <w:rFonts w:hint="eastAsia"/>
          <w:bCs/>
          <w:iCs/>
        </w:rPr>
        <w:t>4、对于履行合同过程中需要向对方送达的文件或资料（包括各类通知、协议等文件以及就合同发生纠纷而产生的相关文件和法律文书等），如以特快专递形式向双方确认的送达地址进行邮寄送达的，则自投寄该邮件之日起的第七日即视为送达；若送达日为非工作日，则视为在下一工作日送达。</w:t>
      </w:r>
    </w:p>
    <w:p w14:paraId="1ED5B20A">
      <w:pPr>
        <w:ind w:firstLine="480" w:firstLineChars="200"/>
        <w:rPr>
          <w:bCs/>
          <w:iCs/>
        </w:rPr>
      </w:pPr>
      <w:r>
        <w:rPr>
          <w:rFonts w:hint="eastAsia"/>
          <w:bCs/>
          <w:iCs/>
        </w:rPr>
        <w:t>5、一方当事人的送达地址需要变更时应当在变更后3日内及时书面通知对方当事人，对方当事人实际收到变更通知前的送达仍为有效送达，电子送达与书面送达具有同等法律效力。</w:t>
      </w:r>
    </w:p>
    <w:p w14:paraId="3E8B11D7">
      <w:pPr>
        <w:ind w:firstLine="480" w:firstLineChars="200"/>
        <w:rPr>
          <w:bCs/>
          <w:iCs/>
        </w:rPr>
      </w:pPr>
      <w:r>
        <w:rPr>
          <w:rFonts w:hint="eastAsia"/>
          <w:bCs/>
          <w:iCs/>
        </w:rPr>
        <w:t>6、未按前述方式履行通知义务，双方所确认的送达地址仍为有效送达地址，因当事人提供或者确认的送达地址不准确、送达地址变更后未及时依程序告知对方、当事人或指定的接收人拒绝签收等原因，导致文件或资料未能被当事人实际接收的，邮寄送达的，以文书退回之日视为送达之日；对于上述当事人在合同中明确约定的送达地址，法院进行送达时可直接邮寄送达，即使当事人未能收到法院邮寄送达的文书，也应当视为送达。（在仲裁及民事诉讼程序时当事人地址变更时应当向仲裁机构、法院履行送达地址变更通知义务。当事人未按上述方式履行通知义务，或者提供的地址不准确，导致法律文书未能被当事人实际接收的，邮寄送达的，以文书退回之日视为送达之日。）</w:t>
      </w:r>
    </w:p>
    <w:p w14:paraId="18C7710C">
      <w:pPr>
        <w:ind w:firstLine="480" w:firstLineChars="200"/>
        <w:rPr>
          <w:bCs/>
          <w:iCs/>
        </w:rPr>
      </w:pPr>
      <w:r>
        <w:rPr>
          <w:rFonts w:hint="eastAsia"/>
          <w:bCs/>
          <w:iCs/>
        </w:rPr>
        <w:t>7、纠纷进入仲裁、民事诉讼程序后，如当事人应诉并直接向仲裁机构、法院提交送达地址确认书，该确认地址与诉前确认的送达地址不一致的，以向仲裁机构、法院提交确认的送达地址为准。</w:t>
      </w:r>
    </w:p>
    <w:p w14:paraId="32885B06">
      <w:pPr>
        <w:pStyle w:val="2"/>
        <w:spacing w:before="156" w:beforeLines="50" w:after="156" w:afterLines="50"/>
        <w:jc w:val="both"/>
        <w:rPr>
          <w:b w:val="0"/>
          <w:bCs w:val="0"/>
          <w:sz w:val="28"/>
          <w:szCs w:val="28"/>
        </w:rPr>
      </w:pPr>
      <w:r>
        <w:rPr>
          <w:rFonts w:hint="eastAsia"/>
          <w:b w:val="0"/>
          <w:bCs w:val="0"/>
          <w:sz w:val="28"/>
          <w:szCs w:val="28"/>
        </w:rPr>
        <w:t>第九条 不可抗力</w:t>
      </w:r>
    </w:p>
    <w:p w14:paraId="60DE57A2">
      <w:pPr>
        <w:ind w:firstLine="480" w:firstLineChars="200"/>
        <w:rPr>
          <w:bCs/>
          <w:iCs/>
        </w:rPr>
      </w:pPr>
      <w:r>
        <w:rPr>
          <w:rFonts w:hint="eastAsia"/>
          <w:bCs/>
          <w:iCs/>
        </w:rPr>
        <w:t>一方当事人因不可抗力不能按照约定履行本合同的，根据不可抗力的影响，可部分或全部免除责任，但应当及时告知对方，并自不可抗力结束之日起十五日内向对方当事人提供证明。</w:t>
      </w:r>
    </w:p>
    <w:p w14:paraId="22A13A81">
      <w:pPr>
        <w:pStyle w:val="2"/>
        <w:spacing w:before="156" w:beforeLines="50" w:after="156" w:afterLines="50"/>
        <w:jc w:val="both"/>
        <w:rPr>
          <w:b w:val="0"/>
          <w:bCs w:val="0"/>
          <w:sz w:val="28"/>
          <w:szCs w:val="28"/>
        </w:rPr>
      </w:pPr>
      <w:bookmarkStart w:id="2" w:name="_Toc185394607"/>
      <w:r>
        <w:rPr>
          <w:rFonts w:hint="eastAsia"/>
          <w:b w:val="0"/>
          <w:bCs w:val="0"/>
          <w:sz w:val="28"/>
          <w:szCs w:val="28"/>
        </w:rPr>
        <w:t xml:space="preserve">第十条 </w:t>
      </w:r>
      <w:bookmarkEnd w:id="2"/>
      <w:r>
        <w:rPr>
          <w:rFonts w:hint="eastAsia"/>
          <w:b w:val="0"/>
          <w:bCs w:val="0"/>
          <w:sz w:val="28"/>
          <w:szCs w:val="28"/>
        </w:rPr>
        <w:t>合同份数及有效期</w:t>
      </w:r>
    </w:p>
    <w:p w14:paraId="217EE54A">
      <w:pPr>
        <w:ind w:firstLine="480" w:firstLineChars="200"/>
        <w:rPr>
          <w:bCs/>
          <w:iCs/>
        </w:rPr>
      </w:pPr>
      <w:r>
        <w:rPr>
          <w:rFonts w:hint="eastAsia"/>
          <w:bCs/>
          <w:iCs/>
        </w:rPr>
        <w:t xml:space="preserve">本合同自双方签字盖章之日起生效。本合同及附件，一式 </w:t>
      </w:r>
      <w:r>
        <w:rPr>
          <w:rFonts w:hint="eastAsia"/>
          <w:bCs/>
          <w:iCs/>
          <w:u w:val="single"/>
        </w:rPr>
        <w:t xml:space="preserve"> 肆  </w:t>
      </w:r>
      <w:r>
        <w:rPr>
          <w:rFonts w:hint="eastAsia"/>
          <w:bCs/>
          <w:iCs/>
        </w:rPr>
        <w:t>份，具有同等法律效力，其中甲方</w:t>
      </w:r>
      <w:r>
        <w:rPr>
          <w:rFonts w:hint="eastAsia"/>
          <w:bCs/>
          <w:iCs/>
          <w:u w:val="single"/>
        </w:rPr>
        <w:t>贰</w:t>
      </w:r>
      <w:r>
        <w:rPr>
          <w:rFonts w:hint="eastAsia"/>
          <w:bCs/>
          <w:iCs/>
        </w:rPr>
        <w:t>份，乙方</w:t>
      </w:r>
      <w:r>
        <w:rPr>
          <w:rFonts w:hint="eastAsia"/>
          <w:bCs/>
          <w:iCs/>
          <w:u w:val="single"/>
        </w:rPr>
        <w:t>贰</w:t>
      </w:r>
      <w:r>
        <w:rPr>
          <w:rFonts w:hint="eastAsia"/>
          <w:bCs/>
          <w:iCs/>
        </w:rPr>
        <w:t>份。</w:t>
      </w:r>
    </w:p>
    <w:p w14:paraId="7CA22D97">
      <w:pPr>
        <w:ind w:firstLine="480" w:firstLineChars="200"/>
        <w:rPr>
          <w:bCs/>
          <w:iCs/>
        </w:rPr>
      </w:pPr>
    </w:p>
    <w:p w14:paraId="7A9BA82E">
      <w:pPr>
        <w:ind w:firstLine="480" w:firstLineChars="200"/>
        <w:rPr>
          <w:bCs/>
          <w:iCs/>
        </w:rPr>
      </w:pPr>
      <w:r>
        <w:rPr>
          <w:rFonts w:hint="eastAsia"/>
          <w:bCs/>
          <w:iCs/>
        </w:rPr>
        <w:t>附件1：项目需求</w:t>
      </w:r>
    </w:p>
    <w:p w14:paraId="01783C77">
      <w:pPr>
        <w:ind w:firstLine="480" w:firstLineChars="200"/>
        <w:rPr>
          <w:bCs/>
          <w:iCs/>
        </w:rPr>
      </w:pPr>
      <w:r>
        <w:rPr>
          <w:rFonts w:hint="eastAsia"/>
          <w:bCs/>
          <w:iCs/>
        </w:rPr>
        <w:t>附件2：分项报价表</w:t>
      </w:r>
    </w:p>
    <w:p w14:paraId="2E069862">
      <w:pPr>
        <w:jc w:val="left"/>
        <w:rPr>
          <w:bCs/>
          <w:iCs/>
        </w:rPr>
      </w:pPr>
    </w:p>
    <w:p w14:paraId="2769FFF1">
      <w:pPr>
        <w:jc w:val="left"/>
        <w:rPr>
          <w:bCs/>
          <w:iCs/>
        </w:rPr>
      </w:pPr>
    </w:p>
    <w:tbl>
      <w:tblPr>
        <w:tblStyle w:val="14"/>
        <w:tblW w:w="90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5"/>
        <w:gridCol w:w="4535"/>
      </w:tblGrid>
      <w:tr w14:paraId="07210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5C2D626C">
            <w:pPr>
              <w:rPr>
                <w:b/>
                <w:bCs/>
                <w:u w:val="single"/>
              </w:rPr>
            </w:pPr>
            <w:r>
              <w:rPr>
                <w:rFonts w:hint="eastAsia"/>
                <w:b/>
                <w:bCs/>
              </w:rPr>
              <w:t>甲方（盖章）：</w:t>
            </w:r>
            <w:r>
              <w:rPr>
                <w:rFonts w:hint="eastAsia"/>
                <w:u w:val="single"/>
              </w:rPr>
              <w:t>天津智算数字产业发展有限公司</w:t>
            </w:r>
          </w:p>
          <w:p w14:paraId="132E99D1">
            <w:pPr>
              <w:rPr>
                <w:b/>
                <w:bCs/>
                <w:u w:val="single"/>
              </w:rPr>
            </w:pPr>
          </w:p>
          <w:p w14:paraId="216B5C5A">
            <w:pPr>
              <w:rPr>
                <w:b/>
                <w:bCs/>
              </w:rPr>
            </w:pPr>
          </w:p>
        </w:tc>
        <w:tc>
          <w:tcPr>
            <w:tcW w:w="4535" w:type="dxa"/>
          </w:tcPr>
          <w:p w14:paraId="559A579A">
            <w:pPr>
              <w:rPr>
                <w:u w:val="single"/>
              </w:rPr>
            </w:pPr>
            <w:r>
              <w:rPr>
                <w:rFonts w:hint="eastAsia"/>
                <w:b/>
                <w:bCs/>
              </w:rPr>
              <w:t>乙方（盖章）：</w:t>
            </w:r>
            <w:r>
              <w:rPr>
                <w:rFonts w:hint="eastAsia"/>
                <w:u w:val="single"/>
              </w:rPr>
              <w:t>海康（天津）弱电工程有限公司</w:t>
            </w:r>
          </w:p>
        </w:tc>
      </w:tr>
      <w:tr w14:paraId="04EA3A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4BA8F8C4">
            <w:pPr>
              <w:rPr>
                <w:b/>
                <w:bCs/>
                <w:u w:val="single"/>
              </w:rPr>
            </w:pPr>
            <w:r>
              <w:rPr>
                <w:rFonts w:hint="eastAsia"/>
                <w:b/>
                <w:bCs/>
              </w:rPr>
              <w:t>法定代表人或委托代理人：</w:t>
            </w:r>
            <w:r>
              <w:rPr>
                <w:rFonts w:hint="eastAsia"/>
                <w:b/>
                <w:bCs/>
                <w:u w:val="single"/>
              </w:rPr>
              <w:t xml:space="preserve">          </w:t>
            </w:r>
          </w:p>
          <w:p w14:paraId="0403BE40">
            <w:pPr>
              <w:rPr>
                <w:b/>
                <w:bCs/>
                <w:u w:val="single"/>
              </w:rPr>
            </w:pPr>
          </w:p>
          <w:p w14:paraId="2665522A">
            <w:pPr>
              <w:rPr>
                <w:b/>
                <w:bCs/>
              </w:rPr>
            </w:pPr>
          </w:p>
        </w:tc>
        <w:tc>
          <w:tcPr>
            <w:tcW w:w="4535" w:type="dxa"/>
          </w:tcPr>
          <w:p w14:paraId="5BEB6022">
            <w:pPr>
              <w:rPr>
                <w:b/>
                <w:bCs/>
                <w:u w:val="single"/>
              </w:rPr>
            </w:pPr>
            <w:r>
              <w:rPr>
                <w:rFonts w:hint="eastAsia"/>
                <w:b/>
                <w:bCs/>
              </w:rPr>
              <w:t>法定代表人或委托代理人：</w:t>
            </w:r>
            <w:r>
              <w:rPr>
                <w:rFonts w:hint="eastAsia"/>
                <w:b/>
                <w:bCs/>
                <w:u w:val="single"/>
              </w:rPr>
              <w:t xml:space="preserve">          </w:t>
            </w:r>
          </w:p>
        </w:tc>
      </w:tr>
      <w:tr w14:paraId="67C74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535" w:type="dxa"/>
          </w:tcPr>
          <w:p w14:paraId="3DA2CFDD">
            <w:r>
              <w:rPr>
                <w:rFonts w:hint="eastAsia"/>
                <w:b/>
                <w:bCs/>
              </w:rPr>
              <w:t>签订日期：</w:t>
            </w:r>
            <w:r>
              <w:rPr>
                <w:rFonts w:hint="eastAsia"/>
                <w:u w:val="single"/>
              </w:rPr>
              <w:t>2026</w:t>
            </w:r>
            <w:r>
              <w:rPr>
                <w:rFonts w:hint="eastAsia"/>
              </w:rPr>
              <w:t>年</w:t>
            </w:r>
            <w:r>
              <w:rPr>
                <w:rFonts w:hint="eastAsia"/>
                <w:u w:val="single"/>
              </w:rPr>
              <w:t>2</w:t>
            </w:r>
            <w:r>
              <w:rPr>
                <w:rFonts w:hint="eastAsia"/>
              </w:rPr>
              <w:t>月</w:t>
            </w:r>
            <w:r>
              <w:rPr>
                <w:rFonts w:hint="eastAsia"/>
                <w:u w:val="single"/>
              </w:rPr>
              <w:t>9</w:t>
            </w:r>
            <w:r>
              <w:rPr>
                <w:rFonts w:hint="eastAsia"/>
              </w:rPr>
              <w:t>日</w:t>
            </w:r>
          </w:p>
        </w:tc>
        <w:tc>
          <w:tcPr>
            <w:tcW w:w="4535" w:type="dxa"/>
          </w:tcPr>
          <w:p w14:paraId="399DF463">
            <w:r>
              <w:rPr>
                <w:rFonts w:hint="eastAsia"/>
                <w:b/>
                <w:bCs/>
              </w:rPr>
              <w:t>签订日期：</w:t>
            </w:r>
            <w:r>
              <w:rPr>
                <w:rFonts w:hint="eastAsia"/>
                <w:u w:val="single"/>
              </w:rPr>
              <w:t>2026</w:t>
            </w:r>
            <w:r>
              <w:rPr>
                <w:rFonts w:hint="eastAsia"/>
              </w:rPr>
              <w:t>年</w:t>
            </w:r>
            <w:r>
              <w:rPr>
                <w:rFonts w:hint="eastAsia"/>
                <w:u w:val="single"/>
              </w:rPr>
              <w:t>2</w:t>
            </w:r>
            <w:r>
              <w:rPr>
                <w:rFonts w:hint="eastAsia"/>
              </w:rPr>
              <w:t>月</w:t>
            </w:r>
            <w:r>
              <w:rPr>
                <w:rFonts w:hint="eastAsia"/>
                <w:u w:val="single"/>
              </w:rPr>
              <w:t>9</w:t>
            </w:r>
            <w:r>
              <w:rPr>
                <w:rFonts w:hint="eastAsia"/>
              </w:rPr>
              <w:t>日</w:t>
            </w:r>
          </w:p>
        </w:tc>
      </w:tr>
    </w:tbl>
    <w:p w14:paraId="62119AB2">
      <w:pPr>
        <w:widowControl/>
        <w:spacing w:line="240" w:lineRule="auto"/>
        <w:jc w:val="left"/>
      </w:pPr>
    </w:p>
    <w:p w14:paraId="5954FD15">
      <w:pPr>
        <w:widowControl/>
        <w:spacing w:line="240" w:lineRule="auto"/>
        <w:jc w:val="left"/>
      </w:pPr>
    </w:p>
    <w:p w14:paraId="6DB7D065">
      <w:r>
        <w:rPr>
          <w:rFonts w:hint="eastAsia"/>
        </w:rPr>
        <w:br w:type="page"/>
      </w:r>
    </w:p>
    <w:p w14:paraId="7986CD1B">
      <w:pPr>
        <w:rPr>
          <w:b/>
          <w:iCs/>
        </w:rPr>
      </w:pPr>
      <w:r>
        <w:rPr>
          <w:rFonts w:hint="eastAsia"/>
          <w:b/>
          <w:iCs/>
        </w:rPr>
        <w:t>附件1：项目需求：分两方面建设：压滤机模型、运营平台</w:t>
      </w:r>
    </w:p>
    <w:p w14:paraId="1A62462F">
      <w:pPr>
        <w:jc w:val="center"/>
        <w:rPr>
          <w:b/>
          <w:iCs/>
          <w:sz w:val="30"/>
          <w:szCs w:val="30"/>
        </w:rPr>
      </w:pPr>
      <w:r>
        <w:rPr>
          <w:rFonts w:hint="eastAsia"/>
          <w:b/>
          <w:iCs/>
          <w:sz w:val="30"/>
          <w:szCs w:val="30"/>
        </w:rPr>
        <w:t>压滤机模型部分</w:t>
      </w:r>
    </w:p>
    <w:p w14:paraId="1F38E28F">
      <w:pPr>
        <w:jc w:val="left"/>
      </w:pPr>
      <w:r>
        <w:rPr>
          <w:rFonts w:hint="eastAsia"/>
        </w:rPr>
        <w:t>（1）</w:t>
      </w:r>
      <w:r>
        <w:t>回归预测任务（基础）</w:t>
      </w:r>
    </w:p>
    <w:p w14:paraId="75958BE3">
      <w:pPr>
        <w:pStyle w:val="8"/>
        <w:widowControl/>
        <w:ind w:firstLine="0" w:firstLineChars="0"/>
        <w:rPr>
          <w:rFonts w:ascii="宋体" w:hAnsi="宋体" w:cs="宋体"/>
        </w:rPr>
      </w:pPr>
      <w:r>
        <w:rPr>
          <w:rFonts w:ascii="宋体" w:hAnsi="宋体" w:cs="宋体"/>
        </w:rPr>
        <w:t>任务目标：在满足约束条件（如滤饼含水率≤20%、设备压力≤额定上限）下，自动搜索最优加压上限和保压时长组合。</w:t>
      </w:r>
    </w:p>
    <w:p w14:paraId="7D373465">
      <w:pPr>
        <w:pStyle w:val="8"/>
        <w:widowControl/>
        <w:ind w:firstLine="0" w:firstLineChars="0"/>
        <w:rPr>
          <w:rFonts w:ascii="宋体" w:hAnsi="宋体" w:cs="宋体"/>
        </w:rPr>
      </w:pPr>
      <w:r>
        <w:rPr>
          <w:rFonts w:ascii="宋体" w:hAnsi="宋体" w:cs="宋体"/>
        </w:rPr>
        <w:t>（2） 强化学习 / 贝叶斯优化任务（进阶）</w:t>
      </w:r>
    </w:p>
    <w:p w14:paraId="18BD29C2">
      <w:pPr>
        <w:pStyle w:val="8"/>
        <w:widowControl/>
        <w:ind w:firstLine="0" w:firstLineChars="0"/>
        <w:rPr>
          <w:rFonts w:ascii="宋体" w:hAnsi="宋体" w:cs="宋体"/>
        </w:rPr>
      </w:pPr>
      <w:r>
        <w:rPr>
          <w:rFonts w:ascii="宋体" w:hAnsi="宋体" w:cs="宋体"/>
        </w:rPr>
        <w:t>任务目标：在满足约束条件（如滤饼含水率≤20%、设备压力≤额定上限）下，自动搜索最优加压上限和保压时长组合。</w:t>
      </w:r>
    </w:p>
    <w:p w14:paraId="2EC22C78">
      <w:pPr>
        <w:pStyle w:val="8"/>
        <w:widowControl/>
        <w:ind w:firstLine="0" w:firstLineChars="0"/>
        <w:jc w:val="center"/>
        <w:rPr>
          <w:b/>
          <w:iCs/>
          <w:sz w:val="30"/>
          <w:szCs w:val="30"/>
        </w:rPr>
      </w:pPr>
      <w:r>
        <w:rPr>
          <w:rFonts w:hint="eastAsia"/>
          <w:b/>
          <w:iCs/>
          <w:sz w:val="30"/>
          <w:szCs w:val="30"/>
        </w:rPr>
        <w:t>运营平台部分</w:t>
      </w:r>
    </w:p>
    <w:p w14:paraId="25ABA328">
      <w:pPr>
        <w:pStyle w:val="8"/>
        <w:widowControl/>
        <w:ind w:firstLine="480"/>
        <w:rPr>
          <w:rFonts w:ascii="宋体" w:hAnsi="宋体" w:cs="宋体"/>
        </w:rPr>
      </w:pPr>
      <w:r>
        <w:rPr>
          <w:rFonts w:ascii="宋体" w:hAnsi="宋体" w:cs="宋体"/>
        </w:rPr>
        <w:t>以业务为核心，以</w:t>
      </w:r>
      <w:r>
        <w:rPr>
          <w:rFonts w:hint="eastAsia" w:ascii="宋体" w:hAnsi="宋体" w:cs="宋体"/>
        </w:rPr>
        <w:t>行业</w:t>
      </w:r>
      <w:r>
        <w:rPr>
          <w:rFonts w:ascii="宋体" w:hAnsi="宋体" w:cs="宋体"/>
        </w:rPr>
        <w:t>数据为依据，通过业务协同和数据联通，帮助</w:t>
      </w:r>
      <w:r>
        <w:rPr>
          <w:rFonts w:hint="eastAsia" w:ascii="宋体" w:hAnsi="宋体" w:cs="宋体"/>
        </w:rPr>
        <w:t>客户</w:t>
      </w:r>
      <w:r>
        <w:rPr>
          <w:rFonts w:ascii="宋体" w:hAnsi="宋体" w:cs="宋体"/>
        </w:rPr>
        <w:t>向下穿透</w:t>
      </w:r>
      <w:r>
        <w:rPr>
          <w:rFonts w:hint="eastAsia" w:ascii="宋体" w:hAnsi="宋体" w:cs="宋体"/>
        </w:rPr>
        <w:t>各个现场的运营情况</w:t>
      </w:r>
      <w:r>
        <w:rPr>
          <w:rFonts w:ascii="宋体" w:hAnsi="宋体" w:cs="宋体"/>
        </w:rPr>
        <w:t>，实现</w:t>
      </w:r>
      <w:r>
        <w:rPr>
          <w:rFonts w:hint="eastAsia" w:ascii="宋体" w:hAnsi="宋体" w:cs="宋体"/>
        </w:rPr>
        <w:t>设备</w:t>
      </w:r>
      <w:r>
        <w:rPr>
          <w:rFonts w:ascii="宋体" w:hAnsi="宋体" w:cs="宋体"/>
        </w:rPr>
        <w:t>管理、质量管理、进度管理、安全管理、协同管理等方面的精细化管控，最终实现每个</w:t>
      </w:r>
      <w:r>
        <w:rPr>
          <w:rFonts w:hint="eastAsia" w:ascii="宋体" w:hAnsi="宋体" w:cs="宋体"/>
        </w:rPr>
        <w:t>现场</w:t>
      </w:r>
      <w:r>
        <w:rPr>
          <w:rFonts w:ascii="宋体" w:hAnsi="宋体" w:cs="宋体"/>
        </w:rPr>
        <w:t>的智慧决策和降本增效。</w:t>
      </w:r>
    </w:p>
    <w:p w14:paraId="0A04B2BD">
      <w:pPr>
        <w:pStyle w:val="8"/>
        <w:widowControl/>
        <w:ind w:firstLine="0" w:firstLineChars="0"/>
        <w:rPr>
          <w:rFonts w:ascii="宋体" w:hAnsi="宋体" w:cs="宋体"/>
        </w:rPr>
      </w:pPr>
      <w:r>
        <w:rPr>
          <w:rFonts w:hint="eastAsia" w:ascii="宋体" w:hAnsi="宋体" w:cs="宋体"/>
        </w:rPr>
        <w:t>（1）</w:t>
      </w:r>
      <w:r>
        <w:rPr>
          <w:rFonts w:ascii="宋体" w:hAnsi="宋体" w:cs="宋体"/>
        </w:rPr>
        <w:t>PC端</w:t>
      </w:r>
      <w:r>
        <w:rPr>
          <w:rFonts w:hint="eastAsia" w:ascii="宋体" w:hAnsi="宋体" w:cs="宋体"/>
        </w:rPr>
        <w:t>建设：</w:t>
      </w:r>
      <w:r>
        <w:rPr>
          <w:rFonts w:ascii="宋体" w:hAnsi="宋体" w:cs="宋体"/>
        </w:rPr>
        <w:t>全生命周期</w:t>
      </w:r>
      <w:r>
        <w:rPr>
          <w:rFonts w:hint="eastAsia" w:ascii="宋体" w:hAnsi="宋体" w:cs="宋体"/>
        </w:rPr>
        <w:t>，</w:t>
      </w:r>
      <w:r>
        <w:rPr>
          <w:rFonts w:ascii="宋体" w:hAnsi="宋体" w:cs="宋体"/>
        </w:rPr>
        <w:t>全链路</w:t>
      </w:r>
      <w:r>
        <w:rPr>
          <w:rFonts w:hint="eastAsia" w:ascii="宋体" w:hAnsi="宋体" w:cs="宋体"/>
        </w:rPr>
        <w:t>。</w:t>
      </w:r>
    </w:p>
    <w:p w14:paraId="5D6EAAF1">
      <w:pPr>
        <w:pStyle w:val="8"/>
        <w:widowControl/>
        <w:ind w:firstLine="0" w:firstLineChars="0"/>
        <w:rPr>
          <w:rFonts w:ascii="宋体" w:hAnsi="宋体" w:cs="宋体"/>
        </w:rPr>
      </w:pPr>
      <w:r>
        <w:rPr>
          <w:rFonts w:hint="eastAsia" w:ascii="宋体" w:hAnsi="宋体" w:cs="宋体"/>
        </w:rPr>
        <w:t>（2）</w:t>
      </w:r>
      <w:r>
        <w:rPr>
          <w:rFonts w:ascii="宋体" w:hAnsi="宋体" w:cs="宋体"/>
        </w:rPr>
        <w:t>APP\微信小程序</w:t>
      </w:r>
      <w:r>
        <w:rPr>
          <w:rFonts w:hint="eastAsia" w:ascii="宋体" w:hAnsi="宋体" w:cs="宋体"/>
        </w:rPr>
        <w:t>建设：</w:t>
      </w:r>
      <w:r>
        <w:rPr>
          <w:rFonts w:ascii="宋体" w:hAnsi="宋体" w:cs="宋体"/>
        </w:rPr>
        <w:t>可信便捷</w:t>
      </w:r>
      <w:r>
        <w:rPr>
          <w:rFonts w:hint="eastAsia" w:ascii="宋体" w:hAnsi="宋体" w:cs="宋体"/>
        </w:rPr>
        <w:t>，</w:t>
      </w:r>
      <w:r>
        <w:rPr>
          <w:rFonts w:ascii="宋体" w:hAnsi="宋体" w:cs="宋体"/>
        </w:rPr>
        <w:t>多方协同</w:t>
      </w:r>
      <w:r>
        <w:rPr>
          <w:rFonts w:hint="eastAsia" w:ascii="宋体" w:hAnsi="宋体" w:cs="宋体"/>
        </w:rPr>
        <w:t>。</w:t>
      </w:r>
    </w:p>
    <w:p w14:paraId="3FF4A56E">
      <w:r>
        <w:rPr>
          <w:rFonts w:hint="eastAsia"/>
        </w:rPr>
        <w:br w:type="page"/>
      </w:r>
    </w:p>
    <w:p w14:paraId="346AAB07">
      <w:pPr>
        <w:widowControl/>
        <w:spacing w:line="240" w:lineRule="auto"/>
        <w:jc w:val="left"/>
      </w:pPr>
      <w:r>
        <w:rPr>
          <w:rFonts w:hint="eastAsia"/>
        </w:rPr>
        <w:t>附件2：分项报价表</w:t>
      </w:r>
    </w:p>
    <w:tbl>
      <w:tblPr>
        <w:tblStyle w:val="13"/>
        <w:tblW w:w="8523" w:type="dxa"/>
        <w:jc w:val="center"/>
        <w:tblLayout w:type="autofit"/>
        <w:tblCellMar>
          <w:top w:w="0" w:type="dxa"/>
          <w:left w:w="108" w:type="dxa"/>
          <w:bottom w:w="0" w:type="dxa"/>
          <w:right w:w="108" w:type="dxa"/>
        </w:tblCellMar>
      </w:tblPr>
      <w:tblGrid>
        <w:gridCol w:w="854"/>
        <w:gridCol w:w="2082"/>
        <w:gridCol w:w="3508"/>
        <w:gridCol w:w="903"/>
        <w:gridCol w:w="1176"/>
      </w:tblGrid>
      <w:tr w14:paraId="53BEA91B">
        <w:tblPrEx>
          <w:tblCellMar>
            <w:top w:w="0" w:type="dxa"/>
            <w:left w:w="108" w:type="dxa"/>
            <w:bottom w:w="0" w:type="dxa"/>
            <w:right w:w="108" w:type="dxa"/>
          </w:tblCellMar>
        </w:tblPrEx>
        <w:trPr>
          <w:tblHeader/>
          <w:jc w:val="center"/>
        </w:trPr>
        <w:tc>
          <w:tcPr>
            <w:tcW w:w="8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F337DC5">
            <w:pPr>
              <w:widowControl/>
              <w:snapToGrid w:val="0"/>
              <w:spacing w:line="240" w:lineRule="auto"/>
              <w:jc w:val="center"/>
              <w:textAlignment w:val="top"/>
              <w:rPr>
                <w:b/>
                <w:color w:val="000000"/>
              </w:rPr>
            </w:pPr>
            <w:r>
              <w:rPr>
                <w:rStyle w:val="27"/>
                <w:rFonts w:hint="eastAsia"/>
                <w:b/>
                <w:sz w:val="24"/>
                <w:szCs w:val="24"/>
                <w:lang w:bidi="ar"/>
              </w:rPr>
              <w:t>序号</w:t>
            </w:r>
          </w:p>
        </w:tc>
        <w:tc>
          <w:tcPr>
            <w:tcW w:w="20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6BFC3E">
            <w:pPr>
              <w:widowControl/>
              <w:snapToGrid w:val="0"/>
              <w:spacing w:line="240" w:lineRule="auto"/>
              <w:jc w:val="center"/>
              <w:textAlignment w:val="top"/>
              <w:rPr>
                <w:b/>
                <w:color w:val="000000"/>
              </w:rPr>
            </w:pPr>
            <w:r>
              <w:rPr>
                <w:rStyle w:val="27"/>
                <w:rFonts w:hint="eastAsia"/>
                <w:b/>
                <w:sz w:val="24"/>
                <w:szCs w:val="24"/>
                <w:lang w:bidi="ar"/>
              </w:rPr>
              <w:t>名称</w:t>
            </w:r>
          </w:p>
        </w:tc>
        <w:tc>
          <w:tcPr>
            <w:tcW w:w="35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CD4291">
            <w:pPr>
              <w:widowControl/>
              <w:snapToGrid w:val="0"/>
              <w:spacing w:line="240" w:lineRule="auto"/>
              <w:jc w:val="center"/>
              <w:textAlignment w:val="top"/>
              <w:rPr>
                <w:b/>
                <w:color w:val="000000"/>
              </w:rPr>
            </w:pPr>
            <w:r>
              <w:rPr>
                <w:rStyle w:val="27"/>
                <w:rFonts w:hint="eastAsia"/>
                <w:b/>
                <w:sz w:val="24"/>
                <w:szCs w:val="24"/>
                <w:lang w:bidi="ar"/>
              </w:rPr>
              <w:t>服务名称</w:t>
            </w:r>
          </w:p>
        </w:tc>
        <w:tc>
          <w:tcPr>
            <w:tcW w:w="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7BACBB">
            <w:pPr>
              <w:widowControl/>
              <w:snapToGrid w:val="0"/>
              <w:spacing w:line="240" w:lineRule="auto"/>
              <w:jc w:val="center"/>
              <w:textAlignment w:val="top"/>
              <w:rPr>
                <w:rStyle w:val="27"/>
                <w:b/>
                <w:sz w:val="24"/>
                <w:szCs w:val="24"/>
                <w:lang w:bidi="ar"/>
              </w:rPr>
            </w:pPr>
            <w:r>
              <w:rPr>
                <w:rStyle w:val="27"/>
                <w:rFonts w:hint="eastAsia"/>
                <w:b/>
                <w:sz w:val="24"/>
                <w:szCs w:val="24"/>
                <w:lang w:bidi="ar"/>
              </w:rPr>
              <w:t>数量</w:t>
            </w:r>
          </w:p>
          <w:p w14:paraId="27CDA66A">
            <w:pPr>
              <w:widowControl/>
              <w:snapToGrid w:val="0"/>
              <w:spacing w:line="240" w:lineRule="auto"/>
              <w:jc w:val="center"/>
              <w:textAlignment w:val="top"/>
              <w:rPr>
                <w:b/>
                <w:color w:val="000000"/>
              </w:rPr>
            </w:pPr>
            <w:r>
              <w:rPr>
                <w:rStyle w:val="27"/>
                <w:rFonts w:hint="eastAsia"/>
                <w:b/>
                <w:sz w:val="24"/>
                <w:szCs w:val="24"/>
                <w:lang w:bidi="ar"/>
              </w:rPr>
              <w:t>(项)</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23EC8B1">
            <w:pPr>
              <w:widowControl/>
              <w:snapToGrid w:val="0"/>
              <w:spacing w:line="240" w:lineRule="auto"/>
              <w:jc w:val="center"/>
              <w:textAlignment w:val="top"/>
              <w:rPr>
                <w:rStyle w:val="27"/>
                <w:b/>
                <w:sz w:val="24"/>
                <w:szCs w:val="24"/>
                <w:lang w:bidi="ar"/>
              </w:rPr>
            </w:pPr>
            <w:r>
              <w:rPr>
                <w:rStyle w:val="27"/>
                <w:rFonts w:hint="eastAsia"/>
                <w:b/>
                <w:sz w:val="24"/>
                <w:szCs w:val="24"/>
                <w:lang w:bidi="ar"/>
              </w:rPr>
              <w:t>单价</w:t>
            </w:r>
          </w:p>
          <w:p w14:paraId="75F555E5">
            <w:pPr>
              <w:widowControl/>
              <w:snapToGrid w:val="0"/>
              <w:spacing w:line="240" w:lineRule="auto"/>
              <w:jc w:val="center"/>
              <w:textAlignment w:val="top"/>
              <w:rPr>
                <w:b/>
                <w:color w:val="000000"/>
              </w:rPr>
            </w:pPr>
            <w:r>
              <w:rPr>
                <w:rStyle w:val="27"/>
                <w:rFonts w:hint="eastAsia"/>
                <w:b/>
                <w:sz w:val="24"/>
                <w:szCs w:val="24"/>
                <w:lang w:bidi="ar"/>
              </w:rPr>
              <w:t>(元)</w:t>
            </w:r>
          </w:p>
        </w:tc>
      </w:tr>
      <w:tr w14:paraId="4DC8B334">
        <w:tblPrEx>
          <w:tblCellMar>
            <w:top w:w="0" w:type="dxa"/>
            <w:left w:w="108" w:type="dxa"/>
            <w:bottom w:w="0" w:type="dxa"/>
            <w:right w:w="108" w:type="dxa"/>
          </w:tblCellMar>
        </w:tblPrEx>
        <w:trPr>
          <w:jc w:val="center"/>
        </w:trPr>
        <w:tc>
          <w:tcPr>
            <w:tcW w:w="8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294E807">
            <w:pPr>
              <w:widowControl/>
              <w:snapToGrid w:val="0"/>
              <w:spacing w:line="240" w:lineRule="auto"/>
              <w:jc w:val="center"/>
              <w:textAlignment w:val="center"/>
              <w:rPr>
                <w:color w:val="000000"/>
              </w:rPr>
            </w:pPr>
            <w:r>
              <w:rPr>
                <w:rFonts w:hint="eastAsia"/>
                <w:color w:val="000000"/>
                <w:kern w:val="0"/>
                <w:lang w:bidi="ar"/>
              </w:rPr>
              <w:t xml:space="preserve">1 </w:t>
            </w:r>
          </w:p>
        </w:tc>
        <w:tc>
          <w:tcPr>
            <w:tcW w:w="20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8D24662">
            <w:pPr>
              <w:widowControl/>
              <w:snapToGrid w:val="0"/>
              <w:spacing w:line="240" w:lineRule="auto"/>
              <w:jc w:val="center"/>
              <w:textAlignment w:val="center"/>
              <w:rPr>
                <w:color w:val="000000"/>
              </w:rPr>
            </w:pPr>
            <w:r>
              <w:rPr>
                <w:rStyle w:val="27"/>
                <w:rFonts w:hint="eastAsia"/>
                <w:sz w:val="24"/>
                <w:szCs w:val="24"/>
                <w:lang w:bidi="ar"/>
              </w:rPr>
              <w:t>压滤机模</w:t>
            </w:r>
            <w:r>
              <w:rPr>
                <w:rStyle w:val="27"/>
                <w:rFonts w:hint="eastAsia"/>
                <w:sz w:val="24"/>
                <w:szCs w:val="24"/>
                <w:lang w:bidi="ar"/>
              </w:rPr>
              <w:br w:type="textWrapping"/>
            </w:r>
            <w:r>
              <w:rPr>
                <w:rStyle w:val="28"/>
                <w:rFonts w:hint="eastAsia" w:ascii="宋体" w:hAnsi="宋体" w:cs="宋体"/>
                <w:sz w:val="24"/>
                <w:szCs w:val="24"/>
                <w:lang w:bidi="ar"/>
              </w:rPr>
              <w:br w:type="textWrapping"/>
            </w:r>
            <w:r>
              <w:rPr>
                <w:rStyle w:val="27"/>
                <w:rFonts w:hint="eastAsia"/>
                <w:sz w:val="24"/>
                <w:szCs w:val="24"/>
                <w:lang w:bidi="ar"/>
              </w:rPr>
              <w:t>型部分</w:t>
            </w:r>
          </w:p>
        </w:tc>
        <w:tc>
          <w:tcPr>
            <w:tcW w:w="35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AC9D20F">
            <w:pPr>
              <w:widowControl/>
              <w:snapToGrid w:val="0"/>
              <w:spacing w:line="240" w:lineRule="auto"/>
              <w:jc w:val="left"/>
              <w:textAlignment w:val="center"/>
              <w:rPr>
                <w:color w:val="000000"/>
              </w:rPr>
            </w:pPr>
            <w:r>
              <w:rPr>
                <w:rStyle w:val="27"/>
                <w:rFonts w:hint="eastAsia"/>
                <w:sz w:val="24"/>
                <w:szCs w:val="24"/>
                <w:lang w:bidi="ar"/>
              </w:rPr>
              <w:t>数据划分：将10万条数据按7:2:1分为训</w:t>
            </w:r>
            <w:r>
              <w:rPr>
                <w:rStyle w:val="27"/>
                <w:rFonts w:hint="eastAsia"/>
                <w:sz w:val="24"/>
                <w:szCs w:val="24"/>
                <w:lang w:bidi="ar"/>
              </w:rPr>
              <w:br w:type="textWrapping"/>
            </w:r>
            <w:r>
              <w:rPr>
                <w:rStyle w:val="27"/>
                <w:rFonts w:hint="eastAsia"/>
                <w:sz w:val="24"/>
                <w:szCs w:val="24"/>
                <w:lang w:bidi="ar"/>
              </w:rPr>
              <w:t>练集、验证集、测试集。</w:t>
            </w:r>
          </w:p>
        </w:tc>
        <w:tc>
          <w:tcPr>
            <w:tcW w:w="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80C8BC">
            <w:pPr>
              <w:widowControl/>
              <w:snapToGrid w:val="0"/>
              <w:spacing w:line="240" w:lineRule="auto"/>
              <w:jc w:val="center"/>
              <w:textAlignment w:val="center"/>
              <w:rPr>
                <w:color w:val="000000"/>
              </w:rPr>
            </w:pPr>
            <w:r>
              <w:rPr>
                <w:rFonts w:hint="eastAsia"/>
                <w:color w:val="000000"/>
                <w:kern w:val="0"/>
                <w:lang w:bidi="ar"/>
              </w:rPr>
              <w:t xml:space="preserve">1 </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9603E3B">
            <w:pPr>
              <w:widowControl/>
              <w:snapToGrid w:val="0"/>
              <w:spacing w:line="240" w:lineRule="auto"/>
              <w:jc w:val="center"/>
              <w:textAlignment w:val="center"/>
              <w:rPr>
                <w:color w:val="000000"/>
              </w:rPr>
            </w:pPr>
            <w:r>
              <w:rPr>
                <w:rFonts w:hint="eastAsia"/>
                <w:color w:val="000000"/>
                <w:kern w:val="0"/>
                <w:lang w:bidi="ar"/>
              </w:rPr>
              <w:t xml:space="preserve">70000 </w:t>
            </w:r>
          </w:p>
        </w:tc>
      </w:tr>
      <w:tr w14:paraId="2F2EB26E">
        <w:tblPrEx>
          <w:tblCellMar>
            <w:top w:w="0" w:type="dxa"/>
            <w:left w:w="108" w:type="dxa"/>
            <w:bottom w:w="0" w:type="dxa"/>
            <w:right w:w="108" w:type="dxa"/>
          </w:tblCellMar>
        </w:tblPrEx>
        <w:trPr>
          <w:jc w:val="center"/>
        </w:trPr>
        <w:tc>
          <w:tcPr>
            <w:tcW w:w="8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55AD6D">
            <w:pPr>
              <w:snapToGrid w:val="0"/>
              <w:jc w:val="center"/>
              <w:rPr>
                <w:color w:val="000000"/>
              </w:rPr>
            </w:pPr>
          </w:p>
        </w:tc>
        <w:tc>
          <w:tcPr>
            <w:tcW w:w="20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754262F">
            <w:pPr>
              <w:snapToGrid w:val="0"/>
              <w:jc w:val="center"/>
              <w:rPr>
                <w:color w:val="000000"/>
              </w:rPr>
            </w:pPr>
          </w:p>
        </w:tc>
        <w:tc>
          <w:tcPr>
            <w:tcW w:w="35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B1AEE1B">
            <w:pPr>
              <w:widowControl/>
              <w:snapToGrid w:val="0"/>
              <w:spacing w:line="240" w:lineRule="auto"/>
              <w:jc w:val="left"/>
              <w:textAlignment w:val="center"/>
              <w:rPr>
                <w:color w:val="000000"/>
              </w:rPr>
            </w:pPr>
            <w:r>
              <w:rPr>
                <w:rStyle w:val="27"/>
                <w:rFonts w:hint="eastAsia"/>
                <w:sz w:val="24"/>
                <w:szCs w:val="24"/>
                <w:lang w:bidi="ar"/>
              </w:rPr>
              <w:t>特征标准化：对压力值、时长、体积等数值</w:t>
            </w:r>
            <w:r>
              <w:rPr>
                <w:rStyle w:val="27"/>
                <w:rFonts w:hint="eastAsia"/>
                <w:sz w:val="24"/>
                <w:szCs w:val="24"/>
                <w:lang w:bidi="ar"/>
              </w:rPr>
              <w:br w:type="textWrapping"/>
            </w:r>
            <w:r>
              <w:rPr>
                <w:rStyle w:val="27"/>
                <w:rFonts w:hint="eastAsia"/>
                <w:sz w:val="24"/>
                <w:szCs w:val="24"/>
                <w:lang w:bidi="ar"/>
              </w:rPr>
              <w:t>特征进行归一化，提升模型收敛速度</w:t>
            </w:r>
          </w:p>
        </w:tc>
        <w:tc>
          <w:tcPr>
            <w:tcW w:w="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3725B1">
            <w:pPr>
              <w:widowControl/>
              <w:snapToGrid w:val="0"/>
              <w:spacing w:line="240" w:lineRule="auto"/>
              <w:jc w:val="center"/>
              <w:textAlignment w:val="center"/>
              <w:rPr>
                <w:color w:val="000000"/>
              </w:rPr>
            </w:pPr>
            <w:r>
              <w:rPr>
                <w:rFonts w:hint="eastAsia"/>
                <w:color w:val="000000"/>
                <w:kern w:val="0"/>
                <w:lang w:bidi="ar"/>
              </w:rPr>
              <w:t xml:space="preserve">1 </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D69FABF">
            <w:pPr>
              <w:widowControl/>
              <w:snapToGrid w:val="0"/>
              <w:spacing w:line="240" w:lineRule="auto"/>
              <w:jc w:val="center"/>
              <w:textAlignment w:val="center"/>
              <w:rPr>
                <w:color w:val="000000"/>
              </w:rPr>
            </w:pPr>
            <w:r>
              <w:rPr>
                <w:rFonts w:hint="eastAsia"/>
                <w:color w:val="000000"/>
                <w:kern w:val="0"/>
                <w:lang w:bidi="ar"/>
              </w:rPr>
              <w:t xml:space="preserve">90000 </w:t>
            </w:r>
          </w:p>
        </w:tc>
      </w:tr>
      <w:tr w14:paraId="46BC9CCA">
        <w:tblPrEx>
          <w:tblCellMar>
            <w:top w:w="0" w:type="dxa"/>
            <w:left w:w="108" w:type="dxa"/>
            <w:bottom w:w="0" w:type="dxa"/>
            <w:right w:w="108" w:type="dxa"/>
          </w:tblCellMar>
        </w:tblPrEx>
        <w:trPr>
          <w:jc w:val="center"/>
        </w:trPr>
        <w:tc>
          <w:tcPr>
            <w:tcW w:w="8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B9AB9F1">
            <w:pPr>
              <w:snapToGrid w:val="0"/>
              <w:jc w:val="center"/>
              <w:rPr>
                <w:color w:val="000000"/>
              </w:rPr>
            </w:pPr>
          </w:p>
        </w:tc>
        <w:tc>
          <w:tcPr>
            <w:tcW w:w="20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1ACA77">
            <w:pPr>
              <w:snapToGrid w:val="0"/>
              <w:jc w:val="center"/>
              <w:rPr>
                <w:color w:val="000000"/>
              </w:rPr>
            </w:pPr>
          </w:p>
        </w:tc>
        <w:tc>
          <w:tcPr>
            <w:tcW w:w="35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5044B85">
            <w:pPr>
              <w:widowControl/>
              <w:snapToGrid w:val="0"/>
              <w:spacing w:line="240" w:lineRule="auto"/>
              <w:jc w:val="left"/>
              <w:textAlignment w:val="center"/>
              <w:rPr>
                <w:color w:val="000000"/>
              </w:rPr>
            </w:pPr>
            <w:r>
              <w:rPr>
                <w:rStyle w:val="27"/>
                <w:rFonts w:hint="eastAsia"/>
                <w:sz w:val="24"/>
                <w:szCs w:val="24"/>
                <w:lang w:bidi="ar"/>
              </w:rPr>
              <w:t>模型调参：通过网格搜索/随机搜索优化模</w:t>
            </w:r>
            <w:r>
              <w:rPr>
                <w:rStyle w:val="27"/>
                <w:rFonts w:hint="eastAsia"/>
                <w:sz w:val="24"/>
                <w:szCs w:val="24"/>
                <w:lang w:bidi="ar"/>
              </w:rPr>
              <w:br w:type="textWrapping"/>
            </w:r>
            <w:r>
              <w:rPr>
                <w:rStyle w:val="27"/>
                <w:rFonts w:hint="eastAsia"/>
                <w:sz w:val="24"/>
                <w:szCs w:val="24"/>
                <w:lang w:bidi="ar"/>
              </w:rPr>
              <w:t>型超参数</w:t>
            </w:r>
          </w:p>
        </w:tc>
        <w:tc>
          <w:tcPr>
            <w:tcW w:w="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45D289">
            <w:pPr>
              <w:widowControl/>
              <w:snapToGrid w:val="0"/>
              <w:spacing w:line="240" w:lineRule="auto"/>
              <w:jc w:val="center"/>
              <w:textAlignment w:val="center"/>
              <w:rPr>
                <w:color w:val="000000"/>
              </w:rPr>
            </w:pPr>
            <w:r>
              <w:rPr>
                <w:rFonts w:hint="eastAsia"/>
                <w:color w:val="000000"/>
                <w:kern w:val="0"/>
                <w:lang w:bidi="ar"/>
              </w:rPr>
              <w:t xml:space="preserve">1 </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50F7772">
            <w:pPr>
              <w:widowControl/>
              <w:snapToGrid w:val="0"/>
              <w:spacing w:line="240" w:lineRule="auto"/>
              <w:jc w:val="center"/>
              <w:textAlignment w:val="center"/>
              <w:rPr>
                <w:color w:val="000000"/>
              </w:rPr>
            </w:pPr>
            <w:r>
              <w:rPr>
                <w:rFonts w:hint="eastAsia"/>
                <w:color w:val="000000"/>
                <w:kern w:val="0"/>
                <w:lang w:bidi="ar"/>
              </w:rPr>
              <w:t xml:space="preserve">80000 </w:t>
            </w:r>
          </w:p>
        </w:tc>
      </w:tr>
      <w:tr w14:paraId="09544FF1">
        <w:tblPrEx>
          <w:tblCellMar>
            <w:top w:w="0" w:type="dxa"/>
            <w:left w:w="108" w:type="dxa"/>
            <w:bottom w:w="0" w:type="dxa"/>
            <w:right w:w="108" w:type="dxa"/>
          </w:tblCellMar>
        </w:tblPrEx>
        <w:trPr>
          <w:jc w:val="center"/>
        </w:trPr>
        <w:tc>
          <w:tcPr>
            <w:tcW w:w="8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4DCFE62">
            <w:pPr>
              <w:snapToGrid w:val="0"/>
              <w:jc w:val="center"/>
              <w:rPr>
                <w:color w:val="000000"/>
              </w:rPr>
            </w:pPr>
          </w:p>
        </w:tc>
        <w:tc>
          <w:tcPr>
            <w:tcW w:w="20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C3E50BF">
            <w:pPr>
              <w:snapToGrid w:val="0"/>
              <w:jc w:val="center"/>
              <w:rPr>
                <w:color w:val="000000"/>
              </w:rPr>
            </w:pPr>
          </w:p>
        </w:tc>
        <w:tc>
          <w:tcPr>
            <w:tcW w:w="35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C81A59">
            <w:pPr>
              <w:widowControl/>
              <w:snapToGrid w:val="0"/>
              <w:spacing w:line="240" w:lineRule="auto"/>
              <w:jc w:val="left"/>
              <w:textAlignment w:val="center"/>
              <w:rPr>
                <w:color w:val="000000"/>
              </w:rPr>
            </w:pPr>
            <w:r>
              <w:rPr>
                <w:rStyle w:val="27"/>
                <w:rFonts w:hint="eastAsia"/>
                <w:sz w:val="24"/>
                <w:szCs w:val="24"/>
                <w:lang w:bidi="ar"/>
              </w:rPr>
              <w:t>结果验证：在测试集上验证模型预测精度，</w:t>
            </w:r>
            <w:r>
              <w:rPr>
                <w:rStyle w:val="27"/>
                <w:rFonts w:hint="eastAsia"/>
                <w:sz w:val="24"/>
                <w:szCs w:val="24"/>
                <w:lang w:bidi="ar"/>
              </w:rPr>
              <w:br w:type="textWrapping"/>
            </w:r>
            <w:r>
              <w:rPr>
                <w:rStyle w:val="27"/>
                <w:rFonts w:hint="eastAsia"/>
                <w:sz w:val="24"/>
                <w:szCs w:val="24"/>
                <w:lang w:bidi="ar"/>
              </w:rPr>
              <w:t>确保模型泛化能力。</w:t>
            </w:r>
          </w:p>
        </w:tc>
        <w:tc>
          <w:tcPr>
            <w:tcW w:w="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72890B5">
            <w:pPr>
              <w:widowControl/>
              <w:snapToGrid w:val="0"/>
              <w:spacing w:line="240" w:lineRule="auto"/>
              <w:jc w:val="center"/>
              <w:textAlignment w:val="center"/>
              <w:rPr>
                <w:color w:val="000000"/>
              </w:rPr>
            </w:pPr>
            <w:r>
              <w:rPr>
                <w:rFonts w:hint="eastAsia"/>
                <w:color w:val="000000"/>
                <w:kern w:val="0"/>
                <w:lang w:bidi="ar"/>
              </w:rPr>
              <w:t xml:space="preserve">1 </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D70B0D2">
            <w:pPr>
              <w:widowControl/>
              <w:snapToGrid w:val="0"/>
              <w:spacing w:line="240" w:lineRule="auto"/>
              <w:jc w:val="center"/>
              <w:textAlignment w:val="center"/>
              <w:rPr>
                <w:color w:val="000000"/>
              </w:rPr>
            </w:pPr>
            <w:r>
              <w:rPr>
                <w:rFonts w:hint="eastAsia"/>
                <w:color w:val="000000"/>
                <w:kern w:val="0"/>
                <w:lang w:bidi="ar"/>
              </w:rPr>
              <w:t xml:space="preserve">70000 </w:t>
            </w:r>
          </w:p>
        </w:tc>
      </w:tr>
      <w:tr w14:paraId="57467E0F">
        <w:tblPrEx>
          <w:tblCellMar>
            <w:top w:w="0" w:type="dxa"/>
            <w:left w:w="108" w:type="dxa"/>
            <w:bottom w:w="0" w:type="dxa"/>
            <w:right w:w="108" w:type="dxa"/>
          </w:tblCellMar>
        </w:tblPrEx>
        <w:trPr>
          <w:jc w:val="center"/>
        </w:trPr>
        <w:tc>
          <w:tcPr>
            <w:tcW w:w="8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C67A8C9">
            <w:pPr>
              <w:snapToGrid w:val="0"/>
              <w:jc w:val="center"/>
              <w:rPr>
                <w:color w:val="000000"/>
              </w:rPr>
            </w:pPr>
          </w:p>
        </w:tc>
        <w:tc>
          <w:tcPr>
            <w:tcW w:w="20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A061CF2">
            <w:pPr>
              <w:snapToGrid w:val="0"/>
              <w:jc w:val="center"/>
              <w:rPr>
                <w:color w:val="000000"/>
              </w:rPr>
            </w:pPr>
          </w:p>
        </w:tc>
        <w:tc>
          <w:tcPr>
            <w:tcW w:w="35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1775A2E">
            <w:pPr>
              <w:widowControl/>
              <w:snapToGrid w:val="0"/>
              <w:spacing w:line="240" w:lineRule="auto"/>
              <w:jc w:val="left"/>
              <w:textAlignment w:val="center"/>
              <w:rPr>
                <w:color w:val="000000"/>
              </w:rPr>
            </w:pPr>
            <w:r>
              <w:rPr>
                <w:rStyle w:val="27"/>
                <w:rFonts w:hint="eastAsia"/>
                <w:sz w:val="24"/>
                <w:szCs w:val="24"/>
                <w:lang w:bidi="ar"/>
              </w:rPr>
              <w:t>最优参数提取：通过模型预测或贝叶斯优</w:t>
            </w:r>
            <w:r>
              <w:rPr>
                <w:rStyle w:val="27"/>
                <w:rFonts w:hint="eastAsia"/>
                <w:sz w:val="24"/>
                <w:szCs w:val="24"/>
                <w:lang w:bidi="ar"/>
              </w:rPr>
              <w:br w:type="textWrapping"/>
            </w:r>
            <w:r>
              <w:rPr>
                <w:rStyle w:val="27"/>
                <w:rFonts w:hint="eastAsia"/>
                <w:sz w:val="24"/>
                <w:szCs w:val="24"/>
                <w:lang w:bidi="ar"/>
              </w:rPr>
              <w:t>化，输出不同约束下的最优加压上限和保</w:t>
            </w:r>
            <w:r>
              <w:rPr>
                <w:rStyle w:val="27"/>
                <w:rFonts w:hint="eastAsia"/>
                <w:sz w:val="24"/>
                <w:szCs w:val="24"/>
                <w:lang w:bidi="ar"/>
              </w:rPr>
              <w:br w:type="textWrapping"/>
            </w:r>
            <w:r>
              <w:rPr>
                <w:rStyle w:val="27"/>
                <w:rFonts w:hint="eastAsia"/>
                <w:sz w:val="24"/>
                <w:szCs w:val="24"/>
                <w:lang w:bidi="ar"/>
              </w:rPr>
              <w:t>压时长组合。</w:t>
            </w:r>
          </w:p>
        </w:tc>
        <w:tc>
          <w:tcPr>
            <w:tcW w:w="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3326FB">
            <w:pPr>
              <w:widowControl/>
              <w:snapToGrid w:val="0"/>
              <w:spacing w:line="240" w:lineRule="auto"/>
              <w:jc w:val="center"/>
              <w:textAlignment w:val="center"/>
              <w:rPr>
                <w:color w:val="000000"/>
              </w:rPr>
            </w:pPr>
            <w:r>
              <w:rPr>
                <w:rFonts w:hint="eastAsia"/>
                <w:color w:val="000000"/>
                <w:kern w:val="0"/>
                <w:lang w:bidi="ar"/>
              </w:rPr>
              <w:t xml:space="preserve">1 </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10A1F4">
            <w:pPr>
              <w:widowControl/>
              <w:snapToGrid w:val="0"/>
              <w:spacing w:line="240" w:lineRule="auto"/>
              <w:jc w:val="center"/>
              <w:textAlignment w:val="center"/>
              <w:rPr>
                <w:color w:val="000000"/>
              </w:rPr>
            </w:pPr>
            <w:r>
              <w:rPr>
                <w:rFonts w:hint="eastAsia"/>
                <w:color w:val="000000"/>
                <w:kern w:val="0"/>
                <w:lang w:bidi="ar"/>
              </w:rPr>
              <w:t xml:space="preserve">90000 </w:t>
            </w:r>
          </w:p>
        </w:tc>
      </w:tr>
      <w:tr w14:paraId="41BB1D6C">
        <w:tblPrEx>
          <w:tblCellMar>
            <w:top w:w="0" w:type="dxa"/>
            <w:left w:w="108" w:type="dxa"/>
            <w:bottom w:w="0" w:type="dxa"/>
            <w:right w:w="108" w:type="dxa"/>
          </w:tblCellMar>
        </w:tblPrEx>
        <w:trPr>
          <w:jc w:val="center"/>
        </w:trPr>
        <w:tc>
          <w:tcPr>
            <w:tcW w:w="8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E207A89">
            <w:pPr>
              <w:snapToGrid w:val="0"/>
              <w:jc w:val="center"/>
              <w:rPr>
                <w:color w:val="000000"/>
              </w:rPr>
            </w:pPr>
          </w:p>
        </w:tc>
        <w:tc>
          <w:tcPr>
            <w:tcW w:w="20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521AB37">
            <w:pPr>
              <w:snapToGrid w:val="0"/>
              <w:jc w:val="center"/>
              <w:rPr>
                <w:color w:val="000000"/>
              </w:rPr>
            </w:pPr>
          </w:p>
        </w:tc>
        <w:tc>
          <w:tcPr>
            <w:tcW w:w="35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077F21">
            <w:pPr>
              <w:widowControl/>
              <w:snapToGrid w:val="0"/>
              <w:spacing w:line="240" w:lineRule="auto"/>
              <w:jc w:val="left"/>
              <w:textAlignment w:val="center"/>
              <w:rPr>
                <w:color w:val="000000"/>
              </w:rPr>
            </w:pPr>
            <w:r>
              <w:rPr>
                <w:rStyle w:val="27"/>
                <w:rFonts w:hint="eastAsia"/>
                <w:sz w:val="24"/>
                <w:szCs w:val="24"/>
                <w:lang w:bidi="ar"/>
              </w:rPr>
              <w:t>模型迭代：将试验数据补充到训练集，迭代</w:t>
            </w:r>
            <w:r>
              <w:rPr>
                <w:rStyle w:val="27"/>
                <w:rFonts w:hint="eastAsia"/>
                <w:sz w:val="24"/>
                <w:szCs w:val="24"/>
                <w:lang w:bidi="ar"/>
              </w:rPr>
              <w:br w:type="textWrapping"/>
            </w:r>
            <w:r>
              <w:rPr>
                <w:rStyle w:val="27"/>
                <w:rFonts w:hint="eastAsia"/>
                <w:sz w:val="24"/>
                <w:szCs w:val="24"/>
                <w:lang w:bidi="ar"/>
              </w:rPr>
              <w:t>优化模型。</w:t>
            </w:r>
          </w:p>
        </w:tc>
        <w:tc>
          <w:tcPr>
            <w:tcW w:w="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5EE07AD">
            <w:pPr>
              <w:widowControl/>
              <w:snapToGrid w:val="0"/>
              <w:spacing w:line="240" w:lineRule="auto"/>
              <w:jc w:val="center"/>
              <w:textAlignment w:val="center"/>
              <w:rPr>
                <w:color w:val="000000"/>
              </w:rPr>
            </w:pPr>
            <w:r>
              <w:rPr>
                <w:rFonts w:hint="eastAsia"/>
                <w:color w:val="000000"/>
                <w:kern w:val="0"/>
                <w:lang w:bidi="ar"/>
              </w:rPr>
              <w:t xml:space="preserve">1 </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0334A0">
            <w:pPr>
              <w:widowControl/>
              <w:snapToGrid w:val="0"/>
              <w:spacing w:line="240" w:lineRule="auto"/>
              <w:jc w:val="center"/>
              <w:textAlignment w:val="center"/>
              <w:rPr>
                <w:color w:val="000000"/>
              </w:rPr>
            </w:pPr>
            <w:r>
              <w:rPr>
                <w:rFonts w:hint="eastAsia"/>
                <w:color w:val="000000"/>
                <w:kern w:val="0"/>
                <w:lang w:bidi="ar"/>
              </w:rPr>
              <w:t xml:space="preserve">80000 </w:t>
            </w:r>
          </w:p>
        </w:tc>
      </w:tr>
      <w:tr w14:paraId="3DCCF44C">
        <w:tblPrEx>
          <w:tblCellMar>
            <w:top w:w="0" w:type="dxa"/>
            <w:left w:w="108" w:type="dxa"/>
            <w:bottom w:w="0" w:type="dxa"/>
            <w:right w:w="108" w:type="dxa"/>
          </w:tblCellMar>
        </w:tblPrEx>
        <w:trPr>
          <w:trHeight w:val="565" w:hRule="atLeast"/>
          <w:jc w:val="center"/>
        </w:trPr>
        <w:tc>
          <w:tcPr>
            <w:tcW w:w="85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E0CE73E">
            <w:pPr>
              <w:widowControl/>
              <w:snapToGrid w:val="0"/>
              <w:spacing w:line="240" w:lineRule="auto"/>
              <w:jc w:val="center"/>
              <w:textAlignment w:val="center"/>
              <w:rPr>
                <w:color w:val="000000"/>
              </w:rPr>
            </w:pPr>
            <w:r>
              <w:rPr>
                <w:rFonts w:hint="eastAsia"/>
                <w:color w:val="000000"/>
                <w:kern w:val="0"/>
                <w:lang w:bidi="ar"/>
              </w:rPr>
              <w:t xml:space="preserve">2 </w:t>
            </w:r>
          </w:p>
        </w:tc>
        <w:tc>
          <w:tcPr>
            <w:tcW w:w="2082"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D7ED73A">
            <w:pPr>
              <w:widowControl/>
              <w:snapToGrid w:val="0"/>
              <w:spacing w:line="240" w:lineRule="auto"/>
              <w:jc w:val="center"/>
              <w:textAlignment w:val="center"/>
              <w:rPr>
                <w:color w:val="000000"/>
              </w:rPr>
            </w:pPr>
            <w:r>
              <w:rPr>
                <w:rStyle w:val="27"/>
                <w:rFonts w:hint="eastAsia"/>
                <w:sz w:val="24"/>
                <w:szCs w:val="24"/>
                <w:lang w:bidi="ar"/>
              </w:rPr>
              <w:t>运营平台</w:t>
            </w:r>
            <w:r>
              <w:rPr>
                <w:rStyle w:val="27"/>
                <w:rFonts w:hint="eastAsia"/>
                <w:sz w:val="24"/>
                <w:szCs w:val="24"/>
                <w:lang w:bidi="ar"/>
              </w:rPr>
              <w:br w:type="textWrapping"/>
            </w:r>
            <w:r>
              <w:rPr>
                <w:rStyle w:val="27"/>
                <w:rFonts w:hint="eastAsia"/>
                <w:sz w:val="24"/>
                <w:szCs w:val="24"/>
                <w:lang w:bidi="ar"/>
              </w:rPr>
              <w:t xml:space="preserve">  部分</w:t>
            </w:r>
          </w:p>
        </w:tc>
        <w:tc>
          <w:tcPr>
            <w:tcW w:w="35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F7BEDE">
            <w:pPr>
              <w:widowControl/>
              <w:snapToGrid w:val="0"/>
              <w:spacing w:line="240" w:lineRule="auto"/>
              <w:jc w:val="left"/>
              <w:textAlignment w:val="center"/>
              <w:rPr>
                <w:color w:val="000000"/>
              </w:rPr>
            </w:pPr>
            <w:r>
              <w:rPr>
                <w:rStyle w:val="27"/>
                <w:rFonts w:hint="eastAsia"/>
                <w:sz w:val="24"/>
                <w:szCs w:val="24"/>
                <w:lang w:bidi="ar"/>
              </w:rPr>
              <w:t>PC端</w:t>
            </w:r>
          </w:p>
        </w:tc>
        <w:tc>
          <w:tcPr>
            <w:tcW w:w="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8EF15A">
            <w:pPr>
              <w:widowControl/>
              <w:snapToGrid w:val="0"/>
              <w:spacing w:line="240" w:lineRule="auto"/>
              <w:jc w:val="center"/>
              <w:textAlignment w:val="top"/>
              <w:rPr>
                <w:color w:val="000000"/>
              </w:rPr>
            </w:pPr>
            <w:r>
              <w:rPr>
                <w:rFonts w:hint="eastAsia"/>
                <w:color w:val="000000"/>
                <w:kern w:val="0"/>
                <w:lang w:bidi="ar"/>
              </w:rPr>
              <w:t xml:space="preserve">1 </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12CD452">
            <w:pPr>
              <w:widowControl/>
              <w:snapToGrid w:val="0"/>
              <w:spacing w:line="240" w:lineRule="auto"/>
              <w:jc w:val="center"/>
              <w:textAlignment w:val="center"/>
              <w:rPr>
                <w:color w:val="000000"/>
              </w:rPr>
            </w:pPr>
            <w:r>
              <w:rPr>
                <w:rFonts w:hint="eastAsia"/>
                <w:color w:val="000000"/>
                <w:kern w:val="0"/>
                <w:lang w:bidi="ar"/>
              </w:rPr>
              <w:t xml:space="preserve">10000 </w:t>
            </w:r>
          </w:p>
        </w:tc>
      </w:tr>
      <w:tr w14:paraId="18FA47AE">
        <w:tblPrEx>
          <w:tblCellMar>
            <w:top w:w="0" w:type="dxa"/>
            <w:left w:w="108" w:type="dxa"/>
            <w:bottom w:w="0" w:type="dxa"/>
            <w:right w:w="108" w:type="dxa"/>
          </w:tblCellMar>
        </w:tblPrEx>
        <w:trPr>
          <w:trHeight w:val="577" w:hRule="atLeast"/>
          <w:jc w:val="center"/>
        </w:trPr>
        <w:tc>
          <w:tcPr>
            <w:tcW w:w="85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269972C">
            <w:pPr>
              <w:snapToGrid w:val="0"/>
              <w:jc w:val="center"/>
              <w:rPr>
                <w:color w:val="000000"/>
              </w:rPr>
            </w:pPr>
          </w:p>
        </w:tc>
        <w:tc>
          <w:tcPr>
            <w:tcW w:w="2082"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D09CAF">
            <w:pPr>
              <w:snapToGrid w:val="0"/>
              <w:jc w:val="center"/>
              <w:rPr>
                <w:color w:val="000000"/>
              </w:rPr>
            </w:pPr>
          </w:p>
        </w:tc>
        <w:tc>
          <w:tcPr>
            <w:tcW w:w="35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1E81F4A">
            <w:pPr>
              <w:widowControl/>
              <w:snapToGrid w:val="0"/>
              <w:spacing w:line="240" w:lineRule="auto"/>
              <w:jc w:val="left"/>
              <w:textAlignment w:val="center"/>
              <w:rPr>
                <w:color w:val="000000"/>
              </w:rPr>
            </w:pPr>
            <w:r>
              <w:rPr>
                <w:rStyle w:val="27"/>
                <w:rFonts w:hint="eastAsia"/>
                <w:sz w:val="24"/>
                <w:szCs w:val="24"/>
                <w:lang w:bidi="ar"/>
              </w:rPr>
              <w:t>APP/小程序移动端</w:t>
            </w:r>
          </w:p>
        </w:tc>
        <w:tc>
          <w:tcPr>
            <w:tcW w:w="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B2E1FDF">
            <w:pPr>
              <w:widowControl/>
              <w:snapToGrid w:val="0"/>
              <w:spacing w:line="240" w:lineRule="auto"/>
              <w:jc w:val="center"/>
              <w:textAlignment w:val="center"/>
              <w:rPr>
                <w:color w:val="000000"/>
              </w:rPr>
            </w:pPr>
            <w:r>
              <w:rPr>
                <w:rFonts w:hint="eastAsia"/>
                <w:color w:val="000000"/>
                <w:kern w:val="0"/>
                <w:lang w:bidi="ar"/>
              </w:rPr>
              <w:t xml:space="preserve">1 </w:t>
            </w: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71630F2">
            <w:pPr>
              <w:widowControl/>
              <w:snapToGrid w:val="0"/>
              <w:spacing w:line="240" w:lineRule="auto"/>
              <w:jc w:val="center"/>
              <w:textAlignment w:val="center"/>
              <w:rPr>
                <w:color w:val="000000"/>
              </w:rPr>
            </w:pPr>
            <w:r>
              <w:rPr>
                <w:rFonts w:hint="eastAsia"/>
                <w:color w:val="000000"/>
                <w:kern w:val="0"/>
                <w:lang w:bidi="ar"/>
              </w:rPr>
              <w:t xml:space="preserve">5000 </w:t>
            </w:r>
          </w:p>
        </w:tc>
      </w:tr>
      <w:tr w14:paraId="1EF2BA6C">
        <w:tblPrEx>
          <w:tblCellMar>
            <w:top w:w="0" w:type="dxa"/>
            <w:left w:w="108" w:type="dxa"/>
            <w:bottom w:w="0" w:type="dxa"/>
            <w:right w:w="108" w:type="dxa"/>
          </w:tblCellMar>
        </w:tblPrEx>
        <w:trPr>
          <w:trHeight w:val="839" w:hRule="atLeast"/>
          <w:jc w:val="center"/>
        </w:trPr>
        <w:tc>
          <w:tcPr>
            <w:tcW w:w="85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837BABA">
            <w:pPr>
              <w:snapToGrid w:val="0"/>
              <w:jc w:val="center"/>
              <w:rPr>
                <w:b/>
                <w:color w:val="000000"/>
              </w:rPr>
            </w:pPr>
          </w:p>
        </w:tc>
        <w:tc>
          <w:tcPr>
            <w:tcW w:w="2082"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401145C">
            <w:pPr>
              <w:widowControl/>
              <w:snapToGrid w:val="0"/>
              <w:spacing w:line="240" w:lineRule="auto"/>
              <w:jc w:val="center"/>
              <w:textAlignment w:val="center"/>
              <w:rPr>
                <w:b/>
                <w:color w:val="000000"/>
              </w:rPr>
            </w:pPr>
            <w:r>
              <w:rPr>
                <w:rStyle w:val="27"/>
                <w:rFonts w:hint="eastAsia"/>
                <w:b/>
                <w:sz w:val="24"/>
                <w:szCs w:val="24"/>
                <w:lang w:bidi="ar"/>
              </w:rPr>
              <w:t>合计：</w:t>
            </w:r>
          </w:p>
        </w:tc>
        <w:tc>
          <w:tcPr>
            <w:tcW w:w="350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39EFF2">
            <w:pPr>
              <w:snapToGrid w:val="0"/>
              <w:jc w:val="left"/>
              <w:rPr>
                <w:b/>
                <w:color w:val="000000"/>
              </w:rPr>
            </w:pPr>
          </w:p>
        </w:tc>
        <w:tc>
          <w:tcPr>
            <w:tcW w:w="903"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6D4CDB">
            <w:pPr>
              <w:snapToGrid w:val="0"/>
              <w:jc w:val="center"/>
              <w:rPr>
                <w:b/>
                <w:color w:val="000000"/>
              </w:rPr>
            </w:pPr>
          </w:p>
        </w:tc>
        <w:tc>
          <w:tcPr>
            <w:tcW w:w="1176"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743FB8">
            <w:pPr>
              <w:widowControl/>
              <w:snapToGrid w:val="0"/>
              <w:spacing w:line="240" w:lineRule="auto"/>
              <w:jc w:val="center"/>
              <w:textAlignment w:val="center"/>
              <w:rPr>
                <w:b/>
                <w:color w:val="000000"/>
              </w:rPr>
            </w:pPr>
            <w:r>
              <w:rPr>
                <w:rFonts w:hint="eastAsia"/>
                <w:b/>
                <w:color w:val="000000"/>
                <w:kern w:val="0"/>
                <w:lang w:bidi="ar"/>
              </w:rPr>
              <w:t xml:space="preserve">495000 </w:t>
            </w:r>
          </w:p>
        </w:tc>
      </w:tr>
    </w:tbl>
    <w:p w14:paraId="538DC50E">
      <w:pPr>
        <w:widowControl/>
        <w:spacing w:line="240" w:lineRule="auto"/>
        <w:jc w:val="left"/>
      </w:pPr>
    </w:p>
    <w:p w14:paraId="515C144E">
      <w:pPr>
        <w:widowControl/>
        <w:spacing w:line="240" w:lineRule="auto"/>
        <w:jc w:val="left"/>
      </w:pPr>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56B03E">
    <w:pPr>
      <w:pStyle w:val="9"/>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34F646">
                          <w:pPr>
                            <w:pStyle w:val="9"/>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7</w:t>
                          </w:r>
                          <w:r>
                            <w:rPr>
                              <w:sz w:val="28"/>
                              <w:szCs w:val="2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4934F646">
                    <w:pPr>
                      <w:pStyle w:val="9"/>
                      <w:rPr>
                        <w:sz w:val="28"/>
                        <w:szCs w:val="28"/>
                      </w:rPr>
                    </w:pPr>
                    <w:r>
                      <w:rPr>
                        <w:sz w:val="28"/>
                        <w:szCs w:val="28"/>
                      </w:rPr>
                      <w:fldChar w:fldCharType="begin"/>
                    </w:r>
                    <w:r>
                      <w:rPr>
                        <w:sz w:val="28"/>
                        <w:szCs w:val="28"/>
                      </w:rPr>
                      <w:instrText xml:space="preserve"> PAGE  \* MERGEFORMAT </w:instrText>
                    </w:r>
                    <w:r>
                      <w:rPr>
                        <w:sz w:val="28"/>
                        <w:szCs w:val="28"/>
                      </w:rPr>
                      <w:fldChar w:fldCharType="separate"/>
                    </w:r>
                    <w:r>
                      <w:rPr>
                        <w:sz w:val="28"/>
                        <w:szCs w:val="28"/>
                      </w:rPr>
                      <w:t>7</w:t>
                    </w:r>
                    <w:r>
                      <w:rPr>
                        <w:sz w:val="28"/>
                        <w:szCs w:val="2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F1F27D2"/>
    <w:multiLevelType w:val="multilevel"/>
    <w:tmpl w:val="7F1F27D2"/>
    <w:lvl w:ilvl="0" w:tentative="0">
      <w:start w:val="1"/>
      <w:numFmt w:val="decimal"/>
      <w:suff w:val="space"/>
      <w:lvlText w:val="第%1章"/>
      <w:lvlJc w:val="left"/>
      <w:pPr>
        <w:ind w:left="0" w:firstLine="0"/>
      </w:pPr>
      <w:rPr>
        <w:rFonts w:hint="eastAsia" w:ascii="宋体" w:hAnsi="宋体" w:eastAsia="宋体"/>
        <w:b/>
        <w:i w:val="0"/>
        <w:color w:val="auto"/>
        <w:sz w:val="44"/>
        <w:u w:val="none"/>
      </w:rPr>
    </w:lvl>
    <w:lvl w:ilvl="1" w:tentative="0">
      <w:start w:val="1"/>
      <w:numFmt w:val="decimal"/>
      <w:pStyle w:val="3"/>
      <w:suff w:val="space"/>
      <w:lvlText w:val="%1.%2"/>
      <w:lvlJc w:val="left"/>
      <w:pPr>
        <w:ind w:left="0" w:firstLine="0"/>
      </w:pPr>
      <w:rPr>
        <w:rFonts w:hint="eastAsia" w:ascii="宋体" w:hAnsi="宋体" w:eastAsia="宋体"/>
        <w:b/>
        <w:i w:val="0"/>
        <w:color w:val="auto"/>
        <w:sz w:val="32"/>
        <w:u w:val="none"/>
      </w:rPr>
    </w:lvl>
    <w:lvl w:ilvl="2" w:tentative="0">
      <w:start w:val="1"/>
      <w:numFmt w:val="decimal"/>
      <w:pStyle w:val="4"/>
      <w:suff w:val="space"/>
      <w:lvlText w:val="%1.%2.%3"/>
      <w:lvlJc w:val="left"/>
      <w:pPr>
        <w:ind w:left="0" w:firstLine="0"/>
      </w:pPr>
      <w:rPr>
        <w:rFonts w:hint="eastAsia" w:ascii="宋体" w:hAnsi="宋体" w:eastAsia="宋体"/>
        <w:b/>
        <w:i w:val="0"/>
        <w:color w:val="auto"/>
        <w:sz w:val="30"/>
        <w:u w:val="none"/>
      </w:rPr>
    </w:lvl>
    <w:lvl w:ilvl="3" w:tentative="0">
      <w:start w:val="1"/>
      <w:numFmt w:val="decimal"/>
      <w:pStyle w:val="5"/>
      <w:suff w:val="space"/>
      <w:lvlText w:val="%1.%2.%3.%4"/>
      <w:lvlJc w:val="left"/>
      <w:pPr>
        <w:ind w:left="0" w:firstLine="0"/>
      </w:pPr>
      <w:rPr>
        <w:rFonts w:hint="eastAsia" w:ascii="宋体" w:hAnsi="宋体" w:eastAsia="宋体"/>
        <w:b w:val="0"/>
        <w:i w:val="0"/>
        <w:color w:val="auto"/>
        <w:sz w:val="28"/>
        <w:u w:val="none"/>
      </w:rPr>
    </w:lvl>
    <w:lvl w:ilvl="4" w:tentative="0">
      <w:start w:val="1"/>
      <w:numFmt w:val="decimal"/>
      <w:pStyle w:val="6"/>
      <w:suff w:val="space"/>
      <w:lvlText w:val="%1.%2.%3.%4.%5"/>
      <w:lvlJc w:val="left"/>
      <w:pPr>
        <w:ind w:left="0" w:firstLine="0"/>
      </w:pPr>
      <w:rPr>
        <w:rFonts w:hint="eastAsia" w:ascii="宋体" w:eastAsia="宋体"/>
        <w:b w:val="0"/>
        <w:i w:val="0"/>
        <w:color w:val="auto"/>
        <w:sz w:val="24"/>
        <w:u w:val="none"/>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B64B0"/>
    <w:rsid w:val="00031833"/>
    <w:rsid w:val="000414C4"/>
    <w:rsid w:val="000B7BD5"/>
    <w:rsid w:val="00102C99"/>
    <w:rsid w:val="00116DE9"/>
    <w:rsid w:val="001823D8"/>
    <w:rsid w:val="00191592"/>
    <w:rsid w:val="001B7AD4"/>
    <w:rsid w:val="001D3D1F"/>
    <w:rsid w:val="00217C46"/>
    <w:rsid w:val="002636E5"/>
    <w:rsid w:val="00283C73"/>
    <w:rsid w:val="002A503A"/>
    <w:rsid w:val="002B64B0"/>
    <w:rsid w:val="002C11BD"/>
    <w:rsid w:val="002F6226"/>
    <w:rsid w:val="00305CF8"/>
    <w:rsid w:val="0031111D"/>
    <w:rsid w:val="003145DE"/>
    <w:rsid w:val="00325FE7"/>
    <w:rsid w:val="00336B2C"/>
    <w:rsid w:val="003503EC"/>
    <w:rsid w:val="003607FD"/>
    <w:rsid w:val="003658B0"/>
    <w:rsid w:val="003A12B4"/>
    <w:rsid w:val="003D12F5"/>
    <w:rsid w:val="003F115D"/>
    <w:rsid w:val="003F467E"/>
    <w:rsid w:val="003F4A37"/>
    <w:rsid w:val="0041276B"/>
    <w:rsid w:val="004538E5"/>
    <w:rsid w:val="00484EC7"/>
    <w:rsid w:val="00485A2E"/>
    <w:rsid w:val="00511284"/>
    <w:rsid w:val="005260B0"/>
    <w:rsid w:val="0056337C"/>
    <w:rsid w:val="005F07A0"/>
    <w:rsid w:val="005F0884"/>
    <w:rsid w:val="00611C9F"/>
    <w:rsid w:val="00616F81"/>
    <w:rsid w:val="00653764"/>
    <w:rsid w:val="006563B8"/>
    <w:rsid w:val="006B383B"/>
    <w:rsid w:val="006C32EB"/>
    <w:rsid w:val="006D29D0"/>
    <w:rsid w:val="006E37B5"/>
    <w:rsid w:val="00731C51"/>
    <w:rsid w:val="00743C94"/>
    <w:rsid w:val="00790FFF"/>
    <w:rsid w:val="007A2DD7"/>
    <w:rsid w:val="007A68C8"/>
    <w:rsid w:val="007D0A10"/>
    <w:rsid w:val="00844A6E"/>
    <w:rsid w:val="00884F19"/>
    <w:rsid w:val="00896C80"/>
    <w:rsid w:val="008B4D0D"/>
    <w:rsid w:val="008C2C49"/>
    <w:rsid w:val="009041EC"/>
    <w:rsid w:val="00914459"/>
    <w:rsid w:val="00934FC7"/>
    <w:rsid w:val="00947259"/>
    <w:rsid w:val="009556E6"/>
    <w:rsid w:val="009B5A50"/>
    <w:rsid w:val="00A15BF7"/>
    <w:rsid w:val="00A265FE"/>
    <w:rsid w:val="00A413CC"/>
    <w:rsid w:val="00A45B6A"/>
    <w:rsid w:val="00A60CAC"/>
    <w:rsid w:val="00A636C2"/>
    <w:rsid w:val="00A742BC"/>
    <w:rsid w:val="00A80353"/>
    <w:rsid w:val="00A873FE"/>
    <w:rsid w:val="00B00AF3"/>
    <w:rsid w:val="00B34373"/>
    <w:rsid w:val="00B4773C"/>
    <w:rsid w:val="00B7339C"/>
    <w:rsid w:val="00BC1ABF"/>
    <w:rsid w:val="00BE302C"/>
    <w:rsid w:val="00C55E56"/>
    <w:rsid w:val="00C562A5"/>
    <w:rsid w:val="00CB7FAB"/>
    <w:rsid w:val="00D12CB8"/>
    <w:rsid w:val="00D17F36"/>
    <w:rsid w:val="00D22E9C"/>
    <w:rsid w:val="00D50681"/>
    <w:rsid w:val="00D76304"/>
    <w:rsid w:val="00DA783A"/>
    <w:rsid w:val="00E0157B"/>
    <w:rsid w:val="00E219B2"/>
    <w:rsid w:val="00E83EF6"/>
    <w:rsid w:val="00ED6187"/>
    <w:rsid w:val="00EE1D97"/>
    <w:rsid w:val="00EE1E5E"/>
    <w:rsid w:val="00F0346B"/>
    <w:rsid w:val="00F143ED"/>
    <w:rsid w:val="00F210F9"/>
    <w:rsid w:val="00F32EE1"/>
    <w:rsid w:val="00F5423C"/>
    <w:rsid w:val="00FB29FF"/>
    <w:rsid w:val="00FD6629"/>
    <w:rsid w:val="00FF011F"/>
    <w:rsid w:val="00FF2B24"/>
    <w:rsid w:val="00FF2EBF"/>
    <w:rsid w:val="01A2176B"/>
    <w:rsid w:val="01F55459"/>
    <w:rsid w:val="02110A0C"/>
    <w:rsid w:val="07B85001"/>
    <w:rsid w:val="111616C6"/>
    <w:rsid w:val="13BA2040"/>
    <w:rsid w:val="158845B5"/>
    <w:rsid w:val="15A3548C"/>
    <w:rsid w:val="1E285A96"/>
    <w:rsid w:val="1FEE3B92"/>
    <w:rsid w:val="210E7527"/>
    <w:rsid w:val="24271D5D"/>
    <w:rsid w:val="25D520C8"/>
    <w:rsid w:val="266D5288"/>
    <w:rsid w:val="2D244215"/>
    <w:rsid w:val="2D7E6EF9"/>
    <w:rsid w:val="307641CA"/>
    <w:rsid w:val="32FC175E"/>
    <w:rsid w:val="33941A2F"/>
    <w:rsid w:val="3CB67FA8"/>
    <w:rsid w:val="46AF05B5"/>
    <w:rsid w:val="4BE94EB5"/>
    <w:rsid w:val="4C6B31BA"/>
    <w:rsid w:val="4D0E1645"/>
    <w:rsid w:val="50982348"/>
    <w:rsid w:val="52E13EA7"/>
    <w:rsid w:val="6B761357"/>
    <w:rsid w:val="70B97A34"/>
    <w:rsid w:val="74840746"/>
    <w:rsid w:val="77E0215C"/>
    <w:rsid w:val="78152C24"/>
    <w:rsid w:val="7B88468E"/>
    <w:rsid w:val="7C505744"/>
    <w:rsid w:val="7C6F300B"/>
    <w:rsid w:val="7CC76C52"/>
    <w:rsid w:val="7D8D3C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宋体" w:hAnsi="宋体" w:eastAsia="宋体" w:cs="宋体"/>
      <w:kern w:val="2"/>
      <w:sz w:val="24"/>
      <w:szCs w:val="24"/>
      <w:lang w:val="en-US" w:eastAsia="zh-CN" w:bidi="ar-SA"/>
      <w14:ligatures w14:val="standardContextual"/>
    </w:rPr>
  </w:style>
  <w:style w:type="paragraph" w:styleId="2">
    <w:name w:val="heading 1"/>
    <w:basedOn w:val="1"/>
    <w:next w:val="1"/>
    <w:link w:val="17"/>
    <w:qFormat/>
    <w:uiPriority w:val="0"/>
    <w:pPr>
      <w:keepNext/>
      <w:keepLines/>
      <w:jc w:val="center"/>
      <w:outlineLvl w:val="0"/>
    </w:pPr>
    <w:rPr>
      <w:b/>
      <w:bCs/>
      <w:kern w:val="44"/>
      <w:sz w:val="44"/>
      <w:szCs w:val="44"/>
    </w:rPr>
  </w:style>
  <w:style w:type="paragraph" w:styleId="3">
    <w:name w:val="heading 2"/>
    <w:basedOn w:val="1"/>
    <w:next w:val="1"/>
    <w:link w:val="18"/>
    <w:unhideWhenUsed/>
    <w:qFormat/>
    <w:uiPriority w:val="9"/>
    <w:pPr>
      <w:keepNext/>
      <w:keepLines/>
      <w:numPr>
        <w:ilvl w:val="1"/>
        <w:numId w:val="1"/>
      </w:numPr>
      <w:jc w:val="left"/>
      <w:outlineLvl w:val="1"/>
    </w:pPr>
    <w:rPr>
      <w:b/>
      <w:bCs/>
      <w:sz w:val="32"/>
      <w:szCs w:val="32"/>
    </w:rPr>
  </w:style>
  <w:style w:type="paragraph" w:styleId="4">
    <w:name w:val="heading 3"/>
    <w:basedOn w:val="1"/>
    <w:next w:val="1"/>
    <w:link w:val="19"/>
    <w:unhideWhenUsed/>
    <w:qFormat/>
    <w:uiPriority w:val="9"/>
    <w:pPr>
      <w:keepNext/>
      <w:keepLines/>
      <w:numPr>
        <w:ilvl w:val="2"/>
        <w:numId w:val="1"/>
      </w:numPr>
      <w:jc w:val="left"/>
      <w:outlineLvl w:val="2"/>
    </w:pPr>
    <w:rPr>
      <w:b/>
      <w:bCs/>
      <w:sz w:val="30"/>
      <w:szCs w:val="30"/>
    </w:rPr>
  </w:style>
  <w:style w:type="paragraph" w:styleId="5">
    <w:name w:val="heading 4"/>
    <w:basedOn w:val="1"/>
    <w:next w:val="1"/>
    <w:link w:val="20"/>
    <w:unhideWhenUsed/>
    <w:qFormat/>
    <w:uiPriority w:val="9"/>
    <w:pPr>
      <w:keepNext/>
      <w:keepLines/>
      <w:numPr>
        <w:ilvl w:val="3"/>
        <w:numId w:val="1"/>
      </w:numPr>
      <w:jc w:val="left"/>
      <w:outlineLvl w:val="3"/>
    </w:pPr>
    <w:rPr>
      <w:sz w:val="28"/>
      <w:szCs w:val="28"/>
    </w:rPr>
  </w:style>
  <w:style w:type="paragraph" w:styleId="6">
    <w:name w:val="heading 5"/>
    <w:basedOn w:val="1"/>
    <w:next w:val="1"/>
    <w:link w:val="21"/>
    <w:unhideWhenUsed/>
    <w:qFormat/>
    <w:uiPriority w:val="9"/>
    <w:pPr>
      <w:keepNext/>
      <w:keepLines/>
      <w:numPr>
        <w:ilvl w:val="4"/>
        <w:numId w:val="1"/>
      </w:numPr>
      <w:jc w:val="left"/>
      <w:outlineLvl w:val="4"/>
    </w:pPr>
    <w:rPr>
      <w:bCs/>
      <w:szCs w:val="28"/>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7">
    <w:name w:val="annotation text"/>
    <w:basedOn w:val="1"/>
    <w:link w:val="25"/>
    <w:semiHidden/>
    <w:unhideWhenUsed/>
    <w:qFormat/>
    <w:uiPriority w:val="99"/>
    <w:pPr>
      <w:jc w:val="left"/>
    </w:pPr>
  </w:style>
  <w:style w:type="paragraph" w:styleId="8">
    <w:name w:val="Body Text"/>
    <w:unhideWhenUsed/>
    <w:qFormat/>
    <w:uiPriority w:val="99"/>
    <w:pPr>
      <w:widowControl w:val="0"/>
      <w:adjustRightInd w:val="0"/>
      <w:spacing w:before="100" w:after="100" w:line="300" w:lineRule="auto"/>
      <w:ind w:firstLine="1044" w:firstLineChars="200"/>
      <w:jc w:val="both"/>
    </w:pPr>
    <w:rPr>
      <w:rFonts w:ascii="Times New Roman" w:hAnsi="Times New Roman" w:eastAsia="宋体" w:cs="Times New Roman"/>
      <w:kern w:val="2"/>
      <w:sz w:val="24"/>
      <w:szCs w:val="24"/>
      <w:lang w:val="en-US" w:eastAsia="zh-CN" w:bidi="ar-SA"/>
    </w:rPr>
  </w:style>
  <w:style w:type="paragraph" w:styleId="9">
    <w:name w:val="footer"/>
    <w:basedOn w:val="1"/>
    <w:link w:val="23"/>
    <w:unhideWhenUsed/>
    <w:qFormat/>
    <w:uiPriority w:val="99"/>
    <w:pPr>
      <w:tabs>
        <w:tab w:val="center" w:pos="4153"/>
        <w:tab w:val="right" w:pos="8306"/>
      </w:tabs>
      <w:snapToGrid w:val="0"/>
      <w:spacing w:line="240" w:lineRule="auto"/>
      <w:jc w:val="left"/>
    </w:pPr>
    <w:rPr>
      <w:sz w:val="18"/>
      <w:szCs w:val="18"/>
    </w:rPr>
  </w:style>
  <w:style w:type="paragraph" w:styleId="10">
    <w:name w:val="header"/>
    <w:basedOn w:val="1"/>
    <w:link w:val="22"/>
    <w:unhideWhenUsed/>
    <w:qFormat/>
    <w:uiPriority w:val="99"/>
    <w:pPr>
      <w:tabs>
        <w:tab w:val="center" w:pos="4153"/>
        <w:tab w:val="right" w:pos="8306"/>
      </w:tabs>
      <w:snapToGrid w:val="0"/>
      <w:spacing w:line="240" w:lineRule="auto"/>
      <w:jc w:val="center"/>
    </w:pPr>
    <w:rPr>
      <w:sz w:val="18"/>
      <w:szCs w:val="18"/>
    </w:rPr>
  </w:style>
  <w:style w:type="paragraph" w:styleId="11">
    <w:name w:val="Title"/>
    <w:next w:val="1"/>
    <w:qFormat/>
    <w:uiPriority w:val="10"/>
    <w:pPr>
      <w:widowControl w:val="0"/>
      <w:adjustRightInd w:val="0"/>
      <w:spacing w:before="100" w:after="100"/>
      <w:jc w:val="center"/>
    </w:pPr>
    <w:rPr>
      <w:rFonts w:ascii="Times New Roman" w:hAnsi="Times New Roman" w:eastAsia="黑体" w:cs="Times New Roman"/>
      <w:kern w:val="2"/>
      <w:sz w:val="36"/>
      <w:szCs w:val="24"/>
      <w:lang w:val="en-US" w:eastAsia="zh-CN" w:bidi="ar-SA"/>
    </w:rPr>
  </w:style>
  <w:style w:type="paragraph" w:styleId="12">
    <w:name w:val="annotation subject"/>
    <w:basedOn w:val="7"/>
    <w:next w:val="7"/>
    <w:link w:val="26"/>
    <w:semiHidden/>
    <w:unhideWhenUsed/>
    <w:qFormat/>
    <w:uiPriority w:val="99"/>
    <w:rPr>
      <w:b/>
      <w:bCs/>
    </w:rPr>
  </w:style>
  <w:style w:type="table" w:styleId="14">
    <w:name w:val="Table Grid"/>
    <w:basedOn w:val="1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annotation reference"/>
    <w:basedOn w:val="15"/>
    <w:semiHidden/>
    <w:unhideWhenUsed/>
    <w:qFormat/>
    <w:uiPriority w:val="99"/>
    <w:rPr>
      <w:sz w:val="21"/>
      <w:szCs w:val="21"/>
    </w:rPr>
  </w:style>
  <w:style w:type="character" w:customStyle="1" w:styleId="17">
    <w:name w:val="标题 1 字符"/>
    <w:basedOn w:val="15"/>
    <w:link w:val="2"/>
    <w:qFormat/>
    <w:uiPriority w:val="0"/>
    <w:rPr>
      <w:rFonts w:ascii="宋体" w:hAnsi="宋体" w:eastAsia="宋体" w:cs="宋体"/>
      <w:b/>
      <w:bCs/>
      <w:kern w:val="44"/>
      <w:sz w:val="44"/>
      <w:szCs w:val="44"/>
    </w:rPr>
  </w:style>
  <w:style w:type="character" w:customStyle="1" w:styleId="18">
    <w:name w:val="标题 2 字符"/>
    <w:basedOn w:val="15"/>
    <w:link w:val="3"/>
    <w:qFormat/>
    <w:uiPriority w:val="9"/>
    <w:rPr>
      <w:rFonts w:ascii="宋体" w:hAnsi="宋体" w:eastAsia="宋体" w:cs="宋体"/>
      <w:b/>
      <w:bCs/>
      <w:sz w:val="32"/>
      <w:szCs w:val="32"/>
    </w:rPr>
  </w:style>
  <w:style w:type="character" w:customStyle="1" w:styleId="19">
    <w:name w:val="标题 3 字符"/>
    <w:basedOn w:val="15"/>
    <w:link w:val="4"/>
    <w:qFormat/>
    <w:uiPriority w:val="9"/>
    <w:rPr>
      <w:rFonts w:ascii="宋体" w:hAnsi="宋体" w:eastAsia="宋体" w:cs="宋体"/>
      <w:b/>
      <w:bCs/>
      <w:sz w:val="30"/>
      <w:szCs w:val="30"/>
    </w:rPr>
  </w:style>
  <w:style w:type="character" w:customStyle="1" w:styleId="20">
    <w:name w:val="标题 4 字符"/>
    <w:basedOn w:val="15"/>
    <w:link w:val="5"/>
    <w:qFormat/>
    <w:uiPriority w:val="9"/>
    <w:rPr>
      <w:rFonts w:ascii="宋体" w:hAnsi="宋体" w:eastAsia="宋体" w:cs="宋体"/>
      <w:sz w:val="28"/>
      <w:szCs w:val="28"/>
    </w:rPr>
  </w:style>
  <w:style w:type="character" w:customStyle="1" w:styleId="21">
    <w:name w:val="标题 5 字符"/>
    <w:basedOn w:val="15"/>
    <w:link w:val="6"/>
    <w:qFormat/>
    <w:uiPriority w:val="9"/>
    <w:rPr>
      <w:rFonts w:ascii="宋体" w:hAnsi="宋体" w:eastAsia="宋体" w:cs="宋体"/>
      <w:bCs/>
      <w:sz w:val="24"/>
      <w:szCs w:val="28"/>
    </w:rPr>
  </w:style>
  <w:style w:type="character" w:customStyle="1" w:styleId="22">
    <w:name w:val="页眉 字符"/>
    <w:basedOn w:val="15"/>
    <w:link w:val="10"/>
    <w:qFormat/>
    <w:uiPriority w:val="99"/>
    <w:rPr>
      <w:rFonts w:ascii="宋体" w:hAnsi="宋体" w:eastAsia="宋体" w:cs="宋体"/>
      <w:sz w:val="18"/>
      <w:szCs w:val="18"/>
    </w:rPr>
  </w:style>
  <w:style w:type="character" w:customStyle="1" w:styleId="23">
    <w:name w:val="页脚 字符"/>
    <w:basedOn w:val="15"/>
    <w:link w:val="9"/>
    <w:qFormat/>
    <w:uiPriority w:val="99"/>
    <w:rPr>
      <w:rFonts w:ascii="宋体" w:hAnsi="宋体" w:eastAsia="宋体" w:cs="宋体"/>
      <w:sz w:val="18"/>
      <w:szCs w:val="18"/>
    </w:rPr>
  </w:style>
  <w:style w:type="paragraph" w:styleId="24">
    <w:name w:val="List Paragraph"/>
    <w:basedOn w:val="1"/>
    <w:qFormat/>
    <w:uiPriority w:val="34"/>
    <w:pPr>
      <w:ind w:firstLine="420" w:firstLineChars="200"/>
    </w:pPr>
  </w:style>
  <w:style w:type="character" w:customStyle="1" w:styleId="25">
    <w:name w:val="批注文字 字符"/>
    <w:basedOn w:val="15"/>
    <w:link w:val="7"/>
    <w:semiHidden/>
    <w:qFormat/>
    <w:uiPriority w:val="99"/>
    <w:rPr>
      <w:rFonts w:ascii="宋体" w:hAnsi="宋体" w:eastAsia="宋体" w:cs="宋体"/>
      <w:sz w:val="24"/>
      <w:szCs w:val="24"/>
    </w:rPr>
  </w:style>
  <w:style w:type="character" w:customStyle="1" w:styleId="26">
    <w:name w:val="批注主题 字符"/>
    <w:basedOn w:val="25"/>
    <w:link w:val="12"/>
    <w:semiHidden/>
    <w:qFormat/>
    <w:uiPriority w:val="99"/>
    <w:rPr>
      <w:rFonts w:ascii="宋体" w:hAnsi="宋体" w:eastAsia="宋体" w:cs="宋体"/>
      <w:b/>
      <w:bCs/>
      <w:sz w:val="24"/>
      <w:szCs w:val="24"/>
    </w:rPr>
  </w:style>
  <w:style w:type="character" w:customStyle="1" w:styleId="27">
    <w:name w:val="font41"/>
    <w:basedOn w:val="15"/>
    <w:uiPriority w:val="0"/>
    <w:rPr>
      <w:rFonts w:ascii="宋体" w:hAnsi="宋体" w:eastAsia="宋体" w:cs="宋体"/>
      <w:color w:val="000000"/>
      <w:sz w:val="64"/>
      <w:szCs w:val="64"/>
      <w:u w:val="none"/>
    </w:rPr>
  </w:style>
  <w:style w:type="character" w:customStyle="1" w:styleId="28">
    <w:name w:val="font51"/>
    <w:basedOn w:val="15"/>
    <w:uiPriority w:val="0"/>
    <w:rPr>
      <w:rFonts w:ascii="Arial" w:hAnsi="Arial" w:cs="Arial"/>
      <w:color w:val="000000"/>
      <w:sz w:val="18"/>
      <w:szCs w:val="18"/>
      <w:u w:val="non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3389</Words>
  <Characters>3552</Characters>
  <Lines>26</Lines>
  <Paragraphs>7</Paragraphs>
  <TotalTime>14</TotalTime>
  <ScaleCrop>false</ScaleCrop>
  <LinksUpToDate>false</LinksUpToDate>
  <CharactersWithSpaces>3628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2025-11-24T08:45:00Z</dcterms:created>
  <dc:creator>天祺 肖</dc:creator>
  <cp:lastModifiedBy>王杰</cp:lastModifiedBy>
  <dcterms:modified xsi:type="dcterms:W3CDTF">2026-02-09T01:55:17Z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07DFCF3A7E994F4CB4C79D382A93DE3F_13</vt:lpwstr>
  </property>
  <property fmtid="{D5CDD505-2E9C-101B-9397-08002B2CF9AE}" pid="4" name="KSOTemplateDocerSaveRecord">
    <vt:lpwstr>eyJoZGlkIjoiMzEwNTM5NzYwMDRjMzkwZTVkZjY2ODkwMGIxNGU0OTUiLCJ1c2VySWQiOiIyOTQ4NzMyMzQifQ==</vt:lpwstr>
  </property>
</Properties>
</file>