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596A93">
      <w:pPr>
        <w:pStyle w:val="2"/>
        <w:keepNext w:val="0"/>
        <w:keepLines/>
        <w:pageBreakBefore w:val="0"/>
        <w:widowControl/>
        <w:kinsoku/>
        <w:wordWrap/>
        <w:overflowPunct/>
        <w:topLinePunct w:val="0"/>
        <w:autoSpaceDE/>
        <w:autoSpaceDN/>
        <w:bidi w:val="0"/>
        <w:adjustRightInd/>
        <w:snapToGrid/>
        <w:spacing w:before="0" w:beforeAutospacing="0" w:after="0" w:afterLines="300" w:afterAutospacing="0" w:line="240" w:lineRule="auto"/>
        <w:textAlignment w:val="auto"/>
        <w:rPr>
          <w:rFonts w:hint="eastAsia" w:ascii="方正小标宋简体" w:hAnsi="方正小标宋简体" w:eastAsia="方正小标宋简体" w:cs="方正小标宋简体"/>
          <w:sz w:val="30"/>
          <w:szCs w:val="30"/>
        </w:rPr>
      </w:pPr>
      <w:r>
        <w:rPr>
          <w:rFonts w:hint="eastAsia" w:ascii="方正小标宋简体" w:hAnsi="方正小标宋简体" w:eastAsia="方正小标宋简体" w:cs="方正小标宋简体"/>
          <w:b/>
          <w:sz w:val="30"/>
          <w:szCs w:val="30"/>
        </w:rPr>
        <w:t>算力</w:t>
      </w:r>
      <w:r>
        <w:rPr>
          <w:rFonts w:hint="eastAsia" w:ascii="方正小标宋简体" w:hAnsi="方正小标宋简体" w:eastAsia="方正小标宋简体" w:cs="方正小标宋简体"/>
          <w:b/>
          <w:sz w:val="30"/>
          <w:szCs w:val="30"/>
          <w:lang w:val="en-US" w:eastAsia="zh-CN"/>
        </w:rPr>
        <w:t>支持</w:t>
      </w:r>
      <w:r>
        <w:rPr>
          <w:rFonts w:hint="eastAsia" w:ascii="方正小标宋简体" w:hAnsi="方正小标宋简体" w:eastAsia="方正小标宋简体" w:cs="方正小标宋简体"/>
          <w:b/>
          <w:sz w:val="30"/>
          <w:szCs w:val="30"/>
        </w:rPr>
        <w:t>服务合同</w:t>
      </w:r>
    </w:p>
    <w:p w14:paraId="52CA93A4">
      <w:pPr>
        <w:pStyle w:val="7"/>
        <w:keepNext w:val="0"/>
        <w:pageBreakBefore w:val="0"/>
        <w:widowControl/>
        <w:kinsoku/>
        <w:wordWrap/>
        <w:overflowPunct/>
        <w:topLinePunct w:val="0"/>
        <w:autoSpaceDE/>
        <w:autoSpaceDN/>
        <w:bidi w:val="0"/>
        <w:spacing w:before="0" w:beforeAutospacing="0" w:after="0" w:afterAutospacing="0" w:line="240" w:lineRule="auto"/>
        <w:textAlignment w:val="auto"/>
        <w:rPr>
          <w:rFonts w:hint="eastAsia" w:ascii="仿宋_GB2312" w:hAnsi="仿宋_GB2312" w:eastAsia="仿宋_GB2312" w:cs="仿宋_GB2312"/>
          <w:b/>
          <w:color w:val="000000"/>
          <w:sz w:val="30"/>
          <w:szCs w:val="30"/>
          <w:highlight w:val="none"/>
          <w:lang w:eastAsia="zh-CN"/>
        </w:rPr>
      </w:pPr>
      <w:r>
        <w:rPr>
          <w:rFonts w:hint="eastAsia" w:ascii="仿宋_GB2312" w:hAnsi="仿宋_GB2312" w:eastAsia="仿宋_GB2312" w:cs="仿宋_GB2312"/>
          <w:b/>
          <w:color w:val="000000"/>
          <w:sz w:val="30"/>
          <w:szCs w:val="30"/>
          <w:highlight w:val="none"/>
        </w:rPr>
        <w:t>甲方（委托方）</w:t>
      </w:r>
      <w:r>
        <w:rPr>
          <w:rFonts w:hint="eastAsia" w:ascii="仿宋_GB2312" w:hAnsi="仿宋_GB2312" w:eastAsia="仿宋_GB2312" w:cs="仿宋_GB2312"/>
          <w:b/>
          <w:color w:val="000000"/>
          <w:sz w:val="30"/>
          <w:szCs w:val="30"/>
          <w:highlight w:val="none"/>
          <w:lang w:eastAsia="zh-CN"/>
        </w:rPr>
        <w:t>：天津市天河计算机技术有限公司</w:t>
      </w:r>
    </w:p>
    <w:p w14:paraId="1B614A30">
      <w:pPr>
        <w:pStyle w:val="7"/>
        <w:keepNext w:val="0"/>
        <w:pageBreakBefore w:val="0"/>
        <w:widowControl/>
        <w:kinsoku/>
        <w:wordWrap/>
        <w:overflowPunct/>
        <w:topLinePunct w:val="0"/>
        <w:autoSpaceDE/>
        <w:autoSpaceDN/>
        <w:bidi w:val="0"/>
        <w:spacing w:before="0" w:beforeAutospacing="0" w:after="0" w:afterAutospacing="0" w:line="240" w:lineRule="auto"/>
        <w:textAlignment w:val="auto"/>
        <w:rPr>
          <w:rFonts w:hint="eastAsia" w:ascii="仿宋_GB2312" w:hAnsi="仿宋_GB2312" w:eastAsia="仿宋_GB2312" w:cs="仿宋_GB2312"/>
          <w:b w:val="0"/>
          <w:bCs/>
          <w:color w:val="000000"/>
          <w:sz w:val="30"/>
          <w:szCs w:val="30"/>
          <w:highlight w:val="none"/>
          <w:lang w:val="en-US" w:eastAsia="zh-CN"/>
        </w:rPr>
      </w:pPr>
      <w:r>
        <w:rPr>
          <w:rFonts w:hint="eastAsia" w:ascii="仿宋_GB2312" w:hAnsi="仿宋_GB2312" w:eastAsia="仿宋_GB2312" w:cs="仿宋_GB2312"/>
          <w:b w:val="0"/>
          <w:bCs/>
          <w:color w:val="000000"/>
          <w:sz w:val="30"/>
          <w:szCs w:val="30"/>
          <w:highlight w:val="none"/>
          <w:lang w:val="en-US" w:eastAsia="zh-CN"/>
        </w:rPr>
        <w:t>地址：天津经济技术开发区信环西路10号</w:t>
      </w:r>
    </w:p>
    <w:p w14:paraId="17752A9E">
      <w:pPr>
        <w:pStyle w:val="7"/>
        <w:keepNext w:val="0"/>
        <w:pageBreakBefore w:val="0"/>
        <w:widowControl/>
        <w:kinsoku/>
        <w:wordWrap/>
        <w:overflowPunct/>
        <w:topLinePunct w:val="0"/>
        <w:autoSpaceDE/>
        <w:autoSpaceDN/>
        <w:bidi w:val="0"/>
        <w:spacing w:before="0" w:beforeAutospacing="0" w:after="0" w:afterAutospacing="0" w:line="240" w:lineRule="auto"/>
        <w:textAlignment w:val="auto"/>
        <w:rPr>
          <w:rFonts w:hint="default" w:ascii="仿宋_GB2312" w:hAnsi="仿宋_GB2312" w:eastAsia="仿宋_GB2312" w:cs="仿宋_GB2312"/>
          <w:b w:val="0"/>
          <w:bCs/>
          <w:color w:val="000000"/>
          <w:sz w:val="30"/>
          <w:szCs w:val="30"/>
          <w:highlight w:val="none"/>
          <w:lang w:val="en-US" w:eastAsia="zh-CN"/>
        </w:rPr>
      </w:pPr>
      <w:r>
        <w:rPr>
          <w:rFonts w:hint="eastAsia" w:ascii="仿宋_GB2312" w:hAnsi="仿宋_GB2312" w:eastAsia="仿宋_GB2312" w:cs="仿宋_GB2312"/>
          <w:b w:val="0"/>
          <w:bCs/>
          <w:color w:val="000000"/>
          <w:sz w:val="30"/>
          <w:szCs w:val="30"/>
          <w:highlight w:val="none"/>
          <w:lang w:val="en-US" w:eastAsia="zh-CN"/>
        </w:rPr>
        <w:t>联系人：龚彤艳</w:t>
      </w:r>
    </w:p>
    <w:p w14:paraId="18234ED7">
      <w:pPr>
        <w:pStyle w:val="7"/>
        <w:keepNext w:val="0"/>
        <w:pageBreakBefore w:val="0"/>
        <w:widowControl/>
        <w:kinsoku/>
        <w:wordWrap/>
        <w:overflowPunct/>
        <w:topLinePunct w:val="0"/>
        <w:autoSpaceDE/>
        <w:autoSpaceDN/>
        <w:bidi w:val="0"/>
        <w:spacing w:before="0" w:beforeAutospacing="0" w:after="0" w:afterAutospacing="0" w:line="240" w:lineRule="auto"/>
        <w:textAlignment w:val="auto"/>
        <w:rPr>
          <w:rFonts w:hint="default" w:ascii="仿宋_GB2312" w:hAnsi="仿宋_GB2312" w:eastAsia="仿宋_GB2312" w:cs="仿宋_GB2312"/>
          <w:b w:val="0"/>
          <w:bCs/>
          <w:color w:val="000000"/>
          <w:sz w:val="30"/>
          <w:szCs w:val="30"/>
          <w:highlight w:val="none"/>
          <w:lang w:val="en-US" w:eastAsia="zh-CN"/>
        </w:rPr>
      </w:pPr>
      <w:r>
        <w:rPr>
          <w:rFonts w:hint="eastAsia" w:ascii="仿宋_GB2312" w:hAnsi="仿宋_GB2312" w:eastAsia="仿宋_GB2312" w:cs="仿宋_GB2312"/>
          <w:b w:val="0"/>
          <w:bCs/>
          <w:color w:val="000000"/>
          <w:sz w:val="30"/>
          <w:szCs w:val="30"/>
          <w:highlight w:val="none"/>
          <w:lang w:val="en-US" w:eastAsia="zh-CN"/>
        </w:rPr>
        <w:t>联系方式：17710802935</w:t>
      </w:r>
    </w:p>
    <w:p w14:paraId="37C92DAF">
      <w:pPr>
        <w:pStyle w:val="7"/>
        <w:keepNext w:val="0"/>
        <w:pageBreakBefore w:val="0"/>
        <w:kinsoku/>
        <w:wordWrap/>
        <w:overflowPunct/>
        <w:topLinePunct w:val="0"/>
        <w:autoSpaceDE/>
        <w:autoSpaceDN/>
        <w:bidi w:val="0"/>
        <w:spacing w:before="0" w:beforeAutospacing="0" w:after="0" w:afterAutospacing="0" w:line="240" w:lineRule="auto"/>
        <w:textAlignment w:val="auto"/>
        <w:rPr>
          <w:rFonts w:hint="eastAsia" w:ascii="仿宋_GB2312" w:hAnsi="仿宋_GB2312" w:eastAsia="仿宋_GB2312" w:cs="仿宋_GB2312"/>
          <w:color w:val="000000"/>
          <w:sz w:val="30"/>
          <w:szCs w:val="30"/>
        </w:rPr>
      </w:pPr>
      <w:r>
        <w:rPr>
          <w:rFonts w:hint="eastAsia" w:ascii="仿宋_GB2312" w:hAnsi="仿宋_GB2312" w:eastAsia="仿宋_GB2312" w:cs="仿宋_GB2312"/>
          <w:b/>
          <w:color w:val="000000"/>
          <w:sz w:val="30"/>
          <w:szCs w:val="30"/>
        </w:rPr>
        <w:t>乙方（服务方）：天津智算数字产业发展有限公司</w:t>
      </w:r>
    </w:p>
    <w:p w14:paraId="52C608DE">
      <w:pPr>
        <w:pStyle w:val="7"/>
        <w:keepNext w:val="0"/>
        <w:pageBreakBefore w:val="0"/>
        <w:kinsoku/>
        <w:wordWrap/>
        <w:overflowPunct/>
        <w:topLinePunct w:val="0"/>
        <w:autoSpaceDE/>
        <w:autoSpaceDN/>
        <w:bidi w:val="0"/>
        <w:spacing w:before="0" w:beforeAutospacing="0" w:after="0" w:afterAutospacing="0" w:line="240" w:lineRule="auto"/>
        <w:textAlignment w:val="auto"/>
        <w:rPr>
          <w:rFonts w:hint="eastAsia" w:ascii="仿宋_GB2312" w:hAnsi="仿宋_GB2312" w:eastAsia="仿宋_GB2312" w:cs="仿宋_GB2312"/>
          <w:bCs/>
          <w:color w:val="000000"/>
          <w:sz w:val="30"/>
          <w:szCs w:val="30"/>
        </w:rPr>
      </w:pPr>
      <w:r>
        <w:rPr>
          <w:rFonts w:hint="eastAsia" w:ascii="仿宋_GB2312" w:hAnsi="仿宋_GB2312" w:eastAsia="仿宋_GB2312" w:cs="仿宋_GB2312"/>
          <w:bCs/>
          <w:color w:val="000000"/>
          <w:sz w:val="30"/>
          <w:szCs w:val="30"/>
        </w:rPr>
        <w:t>地址：天津市河北区志成路130号</w:t>
      </w:r>
    </w:p>
    <w:p w14:paraId="2FC77053">
      <w:pPr>
        <w:pStyle w:val="7"/>
        <w:keepNext w:val="0"/>
        <w:pageBreakBefore w:val="0"/>
        <w:kinsoku/>
        <w:wordWrap/>
        <w:overflowPunct/>
        <w:topLinePunct w:val="0"/>
        <w:autoSpaceDE/>
        <w:autoSpaceDN/>
        <w:bidi w:val="0"/>
        <w:spacing w:before="0" w:beforeAutospacing="0" w:after="0" w:afterAutospacing="0" w:line="240" w:lineRule="auto"/>
        <w:textAlignment w:val="auto"/>
        <w:rPr>
          <w:rFonts w:hint="eastAsia" w:ascii="仿宋_GB2312" w:hAnsi="仿宋_GB2312" w:eastAsia="仿宋_GB2312" w:cs="仿宋_GB2312"/>
          <w:bCs/>
          <w:color w:val="000000"/>
          <w:sz w:val="30"/>
          <w:szCs w:val="30"/>
        </w:rPr>
      </w:pPr>
      <w:r>
        <w:rPr>
          <w:rFonts w:hint="eastAsia" w:ascii="仿宋_GB2312" w:hAnsi="仿宋_GB2312" w:eastAsia="仿宋_GB2312" w:cs="仿宋_GB2312"/>
          <w:bCs/>
          <w:color w:val="000000"/>
          <w:sz w:val="30"/>
          <w:szCs w:val="30"/>
        </w:rPr>
        <w:t>联系人：孔祥朋</w:t>
      </w:r>
    </w:p>
    <w:p w14:paraId="67C57A5B">
      <w:pPr>
        <w:pStyle w:val="7"/>
        <w:keepNext w:val="0"/>
        <w:pageBreakBefore w:val="0"/>
        <w:kinsoku/>
        <w:wordWrap/>
        <w:overflowPunct/>
        <w:topLinePunct w:val="0"/>
        <w:autoSpaceDE/>
        <w:autoSpaceDN/>
        <w:bidi w:val="0"/>
        <w:spacing w:before="0" w:beforeAutospacing="0" w:after="0" w:afterAutospacing="0" w:line="240" w:lineRule="auto"/>
        <w:textAlignment w:val="auto"/>
        <w:rPr>
          <w:rFonts w:hint="eastAsia" w:ascii="仿宋_GB2312" w:hAnsi="仿宋_GB2312" w:eastAsia="仿宋_GB2312" w:cs="仿宋_GB2312"/>
          <w:bCs/>
          <w:color w:val="000000"/>
          <w:sz w:val="30"/>
          <w:szCs w:val="30"/>
        </w:rPr>
      </w:pPr>
      <w:r>
        <w:rPr>
          <w:rFonts w:hint="eastAsia" w:ascii="仿宋_GB2312" w:hAnsi="仿宋_GB2312" w:eastAsia="仿宋_GB2312" w:cs="仿宋_GB2312"/>
          <w:bCs/>
          <w:color w:val="000000"/>
          <w:sz w:val="30"/>
          <w:szCs w:val="30"/>
        </w:rPr>
        <w:t>联系方式：13820791659</w:t>
      </w:r>
    </w:p>
    <w:p w14:paraId="0B6FF71B">
      <w:pPr>
        <w:pStyle w:val="7"/>
        <w:keepNext w:val="0"/>
        <w:pageBreakBefore w:val="0"/>
        <w:widowControl/>
        <w:kinsoku/>
        <w:wordWrap/>
        <w:overflowPunct/>
        <w:topLinePunct w:val="0"/>
        <w:autoSpaceDE/>
        <w:autoSpaceDN/>
        <w:bidi w:val="0"/>
        <w:spacing w:before="0" w:beforeAutospacing="0" w:after="0" w:afterAutospacing="0" w:line="240" w:lineRule="auto"/>
        <w:textAlignment w:val="auto"/>
        <w:rPr>
          <w:rFonts w:hint="eastAsia" w:ascii="仿宋_GB2312" w:hAnsi="仿宋_GB2312" w:eastAsia="仿宋_GB2312" w:cs="仿宋_GB2312"/>
          <w:color w:val="000000"/>
          <w:sz w:val="30"/>
          <w:szCs w:val="30"/>
        </w:rPr>
      </w:pPr>
      <w:r>
        <w:rPr>
          <w:rFonts w:hint="eastAsia" w:ascii="仿宋_GB2312" w:hAnsi="仿宋_GB2312" w:eastAsia="仿宋_GB2312" w:cs="仿宋_GB2312"/>
          <w:color w:val="000000"/>
          <w:sz w:val="30"/>
          <w:szCs w:val="30"/>
        </w:rPr>
        <w:t>本合同各方经平等自愿协商，根据《中华人民共和国民法典》及相关法规，签订本合同以共同遵守。</w:t>
      </w:r>
    </w:p>
    <w:p w14:paraId="10F8E41C">
      <w:pPr>
        <w:pStyle w:val="3"/>
        <w:keepNext w:val="0"/>
        <w:pageBreakBefore w:val="0"/>
        <w:widowControl/>
        <w:numPr>
          <w:ilvl w:val="0"/>
          <w:numId w:val="1"/>
        </w:numPr>
        <w:kinsoku/>
        <w:wordWrap/>
        <w:overflowPunct/>
        <w:topLinePunct w:val="0"/>
        <w:autoSpaceDE/>
        <w:autoSpaceDN/>
        <w:bidi w:val="0"/>
        <w:spacing w:before="0" w:beforeAutospacing="0" w:after="0" w:afterAutospacing="0" w:line="240" w:lineRule="auto"/>
        <w:textAlignment w:val="auto"/>
        <w:rPr>
          <w:rFonts w:hint="eastAsia" w:ascii="仿宋_GB2312" w:hAnsi="仿宋_GB2312" w:eastAsia="仿宋_GB2312" w:cs="仿宋_GB2312"/>
          <w:color w:val="000000"/>
          <w:sz w:val="30"/>
          <w:szCs w:val="30"/>
        </w:rPr>
      </w:pPr>
      <w:r>
        <w:rPr>
          <w:rFonts w:hint="eastAsia" w:ascii="仿宋_GB2312" w:hAnsi="仿宋_GB2312" w:eastAsia="仿宋_GB2312" w:cs="仿宋_GB2312"/>
          <w:b/>
          <w:sz w:val="30"/>
          <w:szCs w:val="30"/>
          <w:lang w:val="en-US" w:eastAsia="zh-CN"/>
        </w:rPr>
        <w:t>支持内容</w:t>
      </w:r>
    </w:p>
    <w:tbl>
      <w:tblPr>
        <w:tblStyle w:val="8"/>
        <w:tblW w:w="85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1"/>
        <w:gridCol w:w="1265"/>
        <w:gridCol w:w="1894"/>
        <w:gridCol w:w="1941"/>
        <w:gridCol w:w="1106"/>
        <w:gridCol w:w="1591"/>
      </w:tblGrid>
      <w:tr w14:paraId="6A6BA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6" w:hRule="atLeast"/>
          <w:jc w:val="center"/>
        </w:trPr>
        <w:tc>
          <w:tcPr>
            <w:tcW w:w="711" w:type="dxa"/>
            <w:vAlign w:val="center"/>
          </w:tcPr>
          <w:p w14:paraId="0F219F58">
            <w:pPr>
              <w:keepNext w:val="0"/>
              <w:pageBreakBefore w:val="0"/>
              <w:kinsoku/>
              <w:wordWrap/>
              <w:overflowPunct/>
              <w:topLinePunct w:val="0"/>
              <w:autoSpaceDE/>
              <w:autoSpaceDN/>
              <w:bidi w:val="0"/>
              <w:spacing w:line="240" w:lineRule="auto"/>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序号</w:t>
            </w:r>
          </w:p>
        </w:tc>
        <w:tc>
          <w:tcPr>
            <w:tcW w:w="1265" w:type="dxa"/>
            <w:vAlign w:val="center"/>
          </w:tcPr>
          <w:p w14:paraId="17EAB309">
            <w:pPr>
              <w:keepNext w:val="0"/>
              <w:pageBreakBefore w:val="0"/>
              <w:kinsoku/>
              <w:wordWrap/>
              <w:overflowPunct/>
              <w:topLinePunct w:val="0"/>
              <w:autoSpaceDE/>
              <w:autoSpaceDN/>
              <w:bidi w:val="0"/>
              <w:spacing w:line="240" w:lineRule="auto"/>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内容描述</w:t>
            </w:r>
          </w:p>
        </w:tc>
        <w:tc>
          <w:tcPr>
            <w:tcW w:w="1894" w:type="dxa"/>
            <w:shd w:val="clear" w:color="auto" w:fill="auto"/>
            <w:vAlign w:val="center"/>
          </w:tcPr>
          <w:p w14:paraId="21E31F5C">
            <w:pPr>
              <w:keepNext w:val="0"/>
              <w:pageBreakBefore w:val="0"/>
              <w:kinsoku/>
              <w:wordWrap/>
              <w:overflowPunct/>
              <w:topLinePunct w:val="0"/>
              <w:autoSpaceDE/>
              <w:autoSpaceDN/>
              <w:bidi w:val="0"/>
              <w:spacing w:line="240" w:lineRule="auto"/>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资源类型</w:t>
            </w:r>
          </w:p>
        </w:tc>
        <w:tc>
          <w:tcPr>
            <w:tcW w:w="1941" w:type="dxa"/>
            <w:vAlign w:val="center"/>
          </w:tcPr>
          <w:p w14:paraId="2136E404">
            <w:pPr>
              <w:keepNext w:val="0"/>
              <w:pageBreakBefore w:val="0"/>
              <w:kinsoku/>
              <w:wordWrap/>
              <w:overflowPunct/>
              <w:topLinePunct w:val="0"/>
              <w:autoSpaceDE/>
              <w:autoSpaceDN/>
              <w:bidi w:val="0"/>
              <w:spacing w:line="240" w:lineRule="auto"/>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规格描述</w:t>
            </w:r>
          </w:p>
        </w:tc>
        <w:tc>
          <w:tcPr>
            <w:tcW w:w="1106" w:type="dxa"/>
            <w:vAlign w:val="center"/>
          </w:tcPr>
          <w:p w14:paraId="51D62DE4">
            <w:pPr>
              <w:keepNext w:val="0"/>
              <w:pageBreakBefore w:val="0"/>
              <w:kinsoku/>
              <w:wordWrap/>
              <w:overflowPunct/>
              <w:topLinePunct w:val="0"/>
              <w:autoSpaceDE/>
              <w:autoSpaceDN/>
              <w:bidi w:val="0"/>
              <w:spacing w:line="240" w:lineRule="auto"/>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账号</w:t>
            </w:r>
          </w:p>
        </w:tc>
        <w:tc>
          <w:tcPr>
            <w:tcW w:w="1591" w:type="dxa"/>
            <w:vAlign w:val="center"/>
          </w:tcPr>
          <w:p w14:paraId="20AB65C3">
            <w:pPr>
              <w:keepNext w:val="0"/>
              <w:pageBreakBefore w:val="0"/>
              <w:kinsoku/>
              <w:wordWrap/>
              <w:overflowPunct/>
              <w:topLinePunct w:val="0"/>
              <w:autoSpaceDE/>
              <w:autoSpaceDN/>
              <w:bidi w:val="0"/>
              <w:spacing w:line="240" w:lineRule="auto"/>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外网IP地址</w:t>
            </w:r>
          </w:p>
        </w:tc>
      </w:tr>
      <w:tr w14:paraId="20C93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0" w:hRule="atLeast"/>
          <w:jc w:val="center"/>
        </w:trPr>
        <w:tc>
          <w:tcPr>
            <w:tcW w:w="711" w:type="dxa"/>
            <w:vAlign w:val="center"/>
          </w:tcPr>
          <w:p w14:paraId="3FD20354">
            <w:pPr>
              <w:keepNext w:val="0"/>
              <w:pageBreakBefore w:val="0"/>
              <w:kinsoku/>
              <w:wordWrap/>
              <w:overflowPunct/>
              <w:topLinePunct w:val="0"/>
              <w:autoSpaceDE/>
              <w:autoSpaceDN/>
              <w:bidi w:val="0"/>
              <w:spacing w:line="240" w:lineRule="auto"/>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1</w:t>
            </w:r>
          </w:p>
        </w:tc>
        <w:tc>
          <w:tcPr>
            <w:tcW w:w="1265" w:type="dxa"/>
            <w:vAlign w:val="center"/>
          </w:tcPr>
          <w:p w14:paraId="76D67DD6">
            <w:pPr>
              <w:keepNext w:val="0"/>
              <w:pageBreakBefore w:val="0"/>
              <w:kinsoku/>
              <w:wordWrap/>
              <w:overflowPunct/>
              <w:topLinePunct w:val="0"/>
              <w:autoSpaceDE/>
              <w:autoSpaceDN/>
              <w:bidi w:val="0"/>
              <w:spacing w:line="240" w:lineRule="auto"/>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lang w:eastAsia="zh-CN"/>
              </w:rPr>
              <w:t>支持</w:t>
            </w:r>
            <w:r>
              <w:rPr>
                <w:rFonts w:hint="eastAsia" w:ascii="仿宋_GB2312" w:hAnsi="仿宋_GB2312" w:eastAsia="仿宋_GB2312" w:cs="仿宋_GB2312"/>
                <w:sz w:val="24"/>
                <w:szCs w:val="24"/>
              </w:rPr>
              <w:t>人工智能训练计算服务</w:t>
            </w:r>
          </w:p>
        </w:tc>
        <w:tc>
          <w:tcPr>
            <w:tcW w:w="1894" w:type="dxa"/>
            <w:shd w:val="clear" w:color="auto" w:fill="auto"/>
            <w:vAlign w:val="center"/>
          </w:tcPr>
          <w:p w14:paraId="1DA67028">
            <w:pPr>
              <w:keepNext w:val="0"/>
              <w:pageBreakBefore w:val="0"/>
              <w:kinsoku/>
              <w:wordWrap/>
              <w:overflowPunct/>
              <w:topLinePunct w:val="0"/>
              <w:autoSpaceDE/>
              <w:autoSpaceDN/>
              <w:bidi w:val="0"/>
              <w:spacing w:line="240" w:lineRule="auto"/>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ＭodelArts专属资源池（800T A2）</w:t>
            </w:r>
          </w:p>
        </w:tc>
        <w:tc>
          <w:tcPr>
            <w:tcW w:w="1941" w:type="dxa"/>
            <w:vAlign w:val="center"/>
          </w:tcPr>
          <w:p w14:paraId="15297A49">
            <w:pPr>
              <w:keepNext w:val="0"/>
              <w:pageBreakBefore w:val="0"/>
              <w:kinsoku/>
              <w:wordWrap/>
              <w:overflowPunct/>
              <w:topLinePunct w:val="0"/>
              <w:autoSpaceDE/>
              <w:autoSpaceDN/>
              <w:bidi w:val="0"/>
              <w:spacing w:line="240" w:lineRule="auto"/>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1个节点的独占资源（每8卡为1个节点）</w:t>
            </w:r>
          </w:p>
        </w:tc>
        <w:tc>
          <w:tcPr>
            <w:tcW w:w="1106" w:type="dxa"/>
            <w:vAlign w:val="center"/>
          </w:tcPr>
          <w:p w14:paraId="73450E7E">
            <w:pPr>
              <w:keepNext w:val="0"/>
              <w:pageBreakBefore w:val="0"/>
              <w:kinsoku/>
              <w:wordWrap/>
              <w:overflowPunct/>
              <w:topLinePunct w:val="0"/>
              <w:autoSpaceDE/>
              <w:autoSpaceDN/>
              <w:bidi w:val="0"/>
              <w:spacing w:line="240" w:lineRule="auto"/>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专属账号1个</w:t>
            </w:r>
          </w:p>
        </w:tc>
        <w:tc>
          <w:tcPr>
            <w:tcW w:w="1591" w:type="dxa"/>
            <w:vAlign w:val="center"/>
          </w:tcPr>
          <w:p w14:paraId="3B49FF05">
            <w:pPr>
              <w:keepNext w:val="0"/>
              <w:pageBreakBefore w:val="0"/>
              <w:kinsoku/>
              <w:wordWrap/>
              <w:overflowPunct/>
              <w:topLinePunct w:val="0"/>
              <w:autoSpaceDE/>
              <w:autoSpaceDN/>
              <w:bidi w:val="0"/>
              <w:spacing w:line="240" w:lineRule="auto"/>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通过账号可申请外网访问IP地址</w:t>
            </w:r>
          </w:p>
        </w:tc>
      </w:tr>
    </w:tbl>
    <w:p w14:paraId="71A75211">
      <w:pPr>
        <w:pStyle w:val="3"/>
        <w:keepNext w:val="0"/>
        <w:pageBreakBefore w:val="0"/>
        <w:widowControl/>
        <w:numPr>
          <w:ilvl w:val="0"/>
          <w:numId w:val="1"/>
        </w:numPr>
        <w:kinsoku/>
        <w:wordWrap/>
        <w:overflowPunct/>
        <w:topLinePunct w:val="0"/>
        <w:autoSpaceDE/>
        <w:autoSpaceDN/>
        <w:bidi w:val="0"/>
        <w:spacing w:before="0" w:beforeAutospacing="0" w:after="0" w:afterAutospacing="0" w:line="240" w:lineRule="auto"/>
        <w:textAlignment w:val="auto"/>
        <w:rPr>
          <w:rFonts w:hint="eastAsia" w:ascii="仿宋_GB2312" w:hAnsi="仿宋_GB2312" w:eastAsia="仿宋_GB2312" w:cs="仿宋_GB2312"/>
          <w:color w:val="000000"/>
          <w:sz w:val="30"/>
          <w:szCs w:val="30"/>
          <w:u w:val="none"/>
        </w:rPr>
      </w:pPr>
      <w:r>
        <w:rPr>
          <w:rFonts w:hint="eastAsia" w:ascii="仿宋_GB2312" w:hAnsi="仿宋_GB2312" w:eastAsia="仿宋_GB2312" w:cs="仿宋_GB2312"/>
          <w:sz w:val="30"/>
          <w:szCs w:val="30"/>
          <w:u w:val="none"/>
          <w:lang w:val="en-US" w:eastAsia="zh-CN"/>
        </w:rPr>
        <w:t>支持</w:t>
      </w:r>
      <w:r>
        <w:rPr>
          <w:rFonts w:hint="eastAsia" w:ascii="仿宋_GB2312" w:hAnsi="仿宋_GB2312" w:eastAsia="仿宋_GB2312" w:cs="仿宋_GB2312"/>
          <w:sz w:val="30"/>
          <w:szCs w:val="30"/>
          <w:u w:val="none"/>
        </w:rPr>
        <w:t>期限</w:t>
      </w:r>
      <w:r>
        <w:rPr>
          <w:rFonts w:hint="eastAsia" w:ascii="仿宋_GB2312" w:hAnsi="仿宋_GB2312" w:eastAsia="仿宋_GB2312" w:cs="仿宋_GB2312"/>
          <w:sz w:val="30"/>
          <w:szCs w:val="30"/>
          <w:u w:val="none"/>
          <w:lang w:val="en-US" w:eastAsia="zh-CN"/>
        </w:rPr>
        <w:t>及支持用途</w:t>
      </w:r>
    </w:p>
    <w:p w14:paraId="07B44070">
      <w:pPr>
        <w:pStyle w:val="7"/>
        <w:keepNext w:val="0"/>
        <w:pageBreakBefore w:val="0"/>
        <w:numPr>
          <w:ilvl w:val="1"/>
          <w:numId w:val="1"/>
        </w:numPr>
        <w:kinsoku/>
        <w:wordWrap/>
        <w:overflowPunct/>
        <w:topLinePunct w:val="0"/>
        <w:autoSpaceDE/>
        <w:autoSpaceDN/>
        <w:bidi w:val="0"/>
        <w:spacing w:before="0" w:beforeAutospacing="0" w:after="0" w:afterAutospacing="0" w:line="240" w:lineRule="auto"/>
        <w:textAlignment w:val="auto"/>
        <w:rPr>
          <w:rFonts w:hint="eastAsia" w:ascii="仿宋_GB2312" w:hAnsi="仿宋_GB2312" w:eastAsia="仿宋_GB2312" w:cs="仿宋_GB2312"/>
          <w:color w:val="000000"/>
          <w:sz w:val="30"/>
          <w:szCs w:val="30"/>
        </w:rPr>
      </w:pPr>
      <w:r>
        <w:rPr>
          <w:rFonts w:hint="eastAsia" w:ascii="仿宋_GB2312" w:hAnsi="仿宋_GB2312" w:eastAsia="仿宋_GB2312" w:cs="仿宋_GB2312"/>
          <w:color w:val="000000"/>
          <w:sz w:val="30"/>
          <w:szCs w:val="30"/>
          <w:lang w:eastAsia="zh-CN"/>
        </w:rPr>
        <w:t>支持</w:t>
      </w:r>
      <w:r>
        <w:rPr>
          <w:rFonts w:hint="eastAsia" w:ascii="仿宋_GB2312" w:hAnsi="仿宋_GB2312" w:eastAsia="仿宋_GB2312" w:cs="仿宋_GB2312"/>
          <w:color w:val="000000"/>
          <w:sz w:val="30"/>
          <w:szCs w:val="30"/>
        </w:rPr>
        <w:t>期限：自2026年</w:t>
      </w:r>
      <w:r>
        <w:rPr>
          <w:rFonts w:hint="eastAsia" w:ascii="仿宋_GB2312" w:hAnsi="仿宋_GB2312" w:eastAsia="仿宋_GB2312" w:cs="仿宋_GB2312"/>
          <w:color w:val="000000"/>
          <w:sz w:val="30"/>
          <w:szCs w:val="30"/>
          <w:lang w:val="en-US" w:eastAsia="zh-CN"/>
        </w:rPr>
        <w:t>5</w:t>
      </w:r>
      <w:r>
        <w:rPr>
          <w:rFonts w:hint="eastAsia" w:ascii="仿宋_GB2312" w:hAnsi="仿宋_GB2312" w:eastAsia="仿宋_GB2312" w:cs="仿宋_GB2312"/>
          <w:color w:val="000000"/>
          <w:sz w:val="30"/>
          <w:szCs w:val="30"/>
        </w:rPr>
        <w:t>月</w:t>
      </w:r>
      <w:r>
        <w:rPr>
          <w:rFonts w:hint="eastAsia" w:ascii="仿宋_GB2312" w:hAnsi="仿宋_GB2312" w:eastAsia="仿宋_GB2312" w:cs="仿宋_GB2312"/>
          <w:color w:val="000000"/>
          <w:sz w:val="30"/>
          <w:szCs w:val="30"/>
          <w:lang w:val="en-US" w:eastAsia="zh-CN"/>
        </w:rPr>
        <w:t>26</w:t>
      </w:r>
      <w:r>
        <w:rPr>
          <w:rFonts w:hint="eastAsia" w:ascii="仿宋_GB2312" w:hAnsi="仿宋_GB2312" w:eastAsia="仿宋_GB2312" w:cs="仿宋_GB2312"/>
          <w:color w:val="000000"/>
          <w:sz w:val="30"/>
          <w:szCs w:val="30"/>
        </w:rPr>
        <w:t>日起（含当日）至2026年</w:t>
      </w:r>
      <w:r>
        <w:rPr>
          <w:rFonts w:hint="eastAsia" w:ascii="仿宋_GB2312" w:hAnsi="仿宋_GB2312" w:eastAsia="仿宋_GB2312" w:cs="仿宋_GB2312"/>
          <w:color w:val="000000"/>
          <w:sz w:val="30"/>
          <w:szCs w:val="30"/>
          <w:lang w:val="en-US" w:eastAsia="zh-CN"/>
        </w:rPr>
        <w:t>6</w:t>
      </w:r>
      <w:r>
        <w:rPr>
          <w:rFonts w:hint="eastAsia" w:ascii="仿宋_GB2312" w:hAnsi="仿宋_GB2312" w:eastAsia="仿宋_GB2312" w:cs="仿宋_GB2312"/>
          <w:color w:val="000000"/>
          <w:sz w:val="30"/>
          <w:szCs w:val="30"/>
        </w:rPr>
        <w:t>月</w:t>
      </w:r>
      <w:r>
        <w:rPr>
          <w:rFonts w:hint="eastAsia" w:ascii="仿宋_GB2312" w:hAnsi="仿宋_GB2312" w:eastAsia="仿宋_GB2312" w:cs="仿宋_GB2312"/>
          <w:color w:val="000000"/>
          <w:sz w:val="30"/>
          <w:szCs w:val="30"/>
          <w:lang w:val="en-US" w:eastAsia="zh-CN"/>
        </w:rPr>
        <w:t>6</w:t>
      </w:r>
      <w:r>
        <w:rPr>
          <w:rFonts w:hint="eastAsia" w:ascii="仿宋_GB2312" w:hAnsi="仿宋_GB2312" w:eastAsia="仿宋_GB2312" w:cs="仿宋_GB2312"/>
          <w:color w:val="000000"/>
          <w:sz w:val="30"/>
          <w:szCs w:val="30"/>
        </w:rPr>
        <w:t>日（含当日）止，共</w:t>
      </w:r>
      <w:r>
        <w:rPr>
          <w:rFonts w:hint="eastAsia" w:ascii="仿宋_GB2312" w:hAnsi="仿宋_GB2312" w:eastAsia="仿宋_GB2312" w:cs="仿宋_GB2312"/>
          <w:color w:val="000000"/>
          <w:sz w:val="30"/>
          <w:szCs w:val="30"/>
          <w:lang w:val="en-US" w:eastAsia="zh-CN"/>
        </w:rPr>
        <w:t>12</w:t>
      </w:r>
      <w:r>
        <w:rPr>
          <w:rFonts w:hint="eastAsia" w:ascii="仿宋_GB2312" w:hAnsi="仿宋_GB2312" w:eastAsia="仿宋_GB2312" w:cs="仿宋_GB2312"/>
          <w:color w:val="000000"/>
          <w:sz w:val="30"/>
          <w:szCs w:val="30"/>
        </w:rPr>
        <w:t>天。</w:t>
      </w:r>
    </w:p>
    <w:p w14:paraId="5BE16590">
      <w:pPr>
        <w:pStyle w:val="7"/>
        <w:keepNext w:val="0"/>
        <w:pageBreakBefore w:val="0"/>
        <w:widowControl/>
        <w:numPr>
          <w:ilvl w:val="1"/>
          <w:numId w:val="1"/>
        </w:numPr>
        <w:kinsoku/>
        <w:wordWrap/>
        <w:overflowPunct/>
        <w:topLinePunct w:val="0"/>
        <w:autoSpaceDE/>
        <w:autoSpaceDN/>
        <w:bidi w:val="0"/>
        <w:spacing w:before="0" w:beforeAutospacing="0" w:after="0" w:afterAutospacing="0" w:line="240" w:lineRule="auto"/>
        <w:textAlignment w:val="auto"/>
        <w:rPr>
          <w:rFonts w:hint="eastAsia" w:ascii="仿宋_GB2312" w:hAnsi="仿宋_GB2312" w:eastAsia="仿宋_GB2312" w:cs="仿宋_GB2312"/>
          <w:color w:val="000000"/>
          <w:sz w:val="30"/>
          <w:szCs w:val="30"/>
        </w:rPr>
      </w:pPr>
      <w:r>
        <w:rPr>
          <w:rFonts w:hint="eastAsia" w:ascii="仿宋_GB2312" w:hAnsi="仿宋_GB2312" w:eastAsia="仿宋_GB2312" w:cs="仿宋_GB2312"/>
          <w:color w:val="000000"/>
          <w:sz w:val="30"/>
          <w:szCs w:val="30"/>
        </w:rPr>
        <w:t>本合同约定的</w:t>
      </w:r>
      <w:r>
        <w:rPr>
          <w:rFonts w:hint="eastAsia" w:ascii="仿宋_GB2312" w:hAnsi="仿宋_GB2312" w:eastAsia="仿宋_GB2312" w:cs="仿宋_GB2312"/>
          <w:color w:val="000000"/>
          <w:sz w:val="30"/>
          <w:szCs w:val="30"/>
          <w:lang w:eastAsia="zh-CN"/>
        </w:rPr>
        <w:t>支持</w:t>
      </w:r>
      <w:r>
        <w:rPr>
          <w:rFonts w:hint="eastAsia" w:ascii="仿宋_GB2312" w:hAnsi="仿宋_GB2312" w:eastAsia="仿宋_GB2312" w:cs="仿宋_GB2312"/>
          <w:color w:val="000000"/>
          <w:sz w:val="30"/>
          <w:szCs w:val="30"/>
        </w:rPr>
        <w:t>起始日期与系统实际交付日期不一致的，以系统实际交付日期为</w:t>
      </w:r>
      <w:r>
        <w:rPr>
          <w:rFonts w:hint="eastAsia" w:ascii="仿宋_GB2312" w:hAnsi="仿宋_GB2312" w:eastAsia="仿宋_GB2312" w:cs="仿宋_GB2312"/>
          <w:color w:val="000000"/>
          <w:sz w:val="30"/>
          <w:szCs w:val="30"/>
          <w:lang w:eastAsia="zh-CN"/>
        </w:rPr>
        <w:t>支持</w:t>
      </w:r>
      <w:r>
        <w:rPr>
          <w:rFonts w:hint="eastAsia" w:ascii="仿宋_GB2312" w:hAnsi="仿宋_GB2312" w:eastAsia="仿宋_GB2312" w:cs="仿宋_GB2312"/>
          <w:color w:val="000000"/>
          <w:sz w:val="30"/>
          <w:szCs w:val="30"/>
        </w:rPr>
        <w:t>期限的起始日期。</w:t>
      </w:r>
    </w:p>
    <w:p w14:paraId="28200323">
      <w:pPr>
        <w:pStyle w:val="7"/>
        <w:keepNext w:val="0"/>
        <w:pageBreakBefore w:val="0"/>
        <w:widowControl/>
        <w:numPr>
          <w:ilvl w:val="1"/>
          <w:numId w:val="1"/>
        </w:numPr>
        <w:kinsoku/>
        <w:wordWrap/>
        <w:overflowPunct/>
        <w:topLinePunct w:val="0"/>
        <w:autoSpaceDE/>
        <w:autoSpaceDN/>
        <w:bidi w:val="0"/>
        <w:spacing w:before="0" w:beforeAutospacing="0" w:after="0" w:afterAutospacing="0" w:line="240" w:lineRule="auto"/>
        <w:textAlignment w:val="auto"/>
        <w:rPr>
          <w:rFonts w:hint="eastAsia" w:ascii="仿宋_GB2312" w:hAnsi="仿宋_GB2312" w:eastAsia="仿宋_GB2312" w:cs="仿宋_GB2312"/>
          <w:color w:val="000000"/>
          <w:sz w:val="30"/>
          <w:szCs w:val="30"/>
          <w:highlight w:val="none"/>
        </w:rPr>
      </w:pPr>
      <w:r>
        <w:rPr>
          <w:rFonts w:hint="eastAsia" w:ascii="仿宋_GB2312" w:hAnsi="仿宋_GB2312" w:eastAsia="仿宋_GB2312" w:cs="仿宋_GB2312"/>
          <w:color w:val="000000"/>
          <w:sz w:val="30"/>
          <w:szCs w:val="30"/>
          <w:highlight w:val="none"/>
          <w:lang w:val="en-US" w:eastAsia="zh-CN"/>
        </w:rPr>
        <w:t>支持用途：验证 [天河融合算力云平台] 对国产AI算力硬件的兼容性及调度能力，开展算力调度平台与昇腾算力设备的适配性测试。</w:t>
      </w:r>
    </w:p>
    <w:p w14:paraId="08258847">
      <w:pPr>
        <w:pStyle w:val="3"/>
        <w:keepNext w:val="0"/>
        <w:pageBreakBefore w:val="0"/>
        <w:widowControl/>
        <w:numPr>
          <w:ilvl w:val="0"/>
          <w:numId w:val="1"/>
        </w:numPr>
        <w:kinsoku/>
        <w:wordWrap/>
        <w:overflowPunct/>
        <w:topLinePunct w:val="0"/>
        <w:autoSpaceDE/>
        <w:autoSpaceDN/>
        <w:bidi w:val="0"/>
        <w:spacing w:before="0" w:beforeAutospacing="0" w:after="0" w:afterAutospacing="0" w:line="240" w:lineRule="auto"/>
        <w:textAlignment w:val="auto"/>
        <w:rPr>
          <w:rFonts w:hint="eastAsia" w:ascii="仿宋_GB2312" w:hAnsi="仿宋_GB2312" w:eastAsia="仿宋_GB2312" w:cs="仿宋_GB2312"/>
          <w:color w:val="000000"/>
          <w:sz w:val="30"/>
          <w:szCs w:val="30"/>
        </w:rPr>
      </w:pPr>
      <w:r>
        <w:rPr>
          <w:rFonts w:hint="eastAsia" w:ascii="仿宋_GB2312" w:hAnsi="仿宋_GB2312" w:eastAsia="仿宋_GB2312" w:cs="仿宋_GB2312"/>
          <w:b/>
          <w:sz w:val="30"/>
          <w:szCs w:val="30"/>
        </w:rPr>
        <w:t>费用与支付</w:t>
      </w:r>
    </w:p>
    <w:p w14:paraId="53BFC6CA">
      <w:pPr>
        <w:pStyle w:val="7"/>
        <w:keepNext w:val="0"/>
        <w:pageBreakBefore w:val="0"/>
        <w:widowControl/>
        <w:numPr>
          <w:ilvl w:val="1"/>
          <w:numId w:val="1"/>
        </w:numPr>
        <w:kinsoku/>
        <w:wordWrap/>
        <w:overflowPunct/>
        <w:topLinePunct w:val="0"/>
        <w:autoSpaceDE/>
        <w:autoSpaceDN/>
        <w:bidi w:val="0"/>
        <w:spacing w:before="0" w:beforeAutospacing="0" w:after="0" w:afterAutospacing="0" w:line="240" w:lineRule="auto"/>
        <w:textAlignment w:val="auto"/>
        <w:rPr>
          <w:rFonts w:hint="eastAsia" w:ascii="仿宋_GB2312" w:hAnsi="仿宋_GB2312" w:eastAsia="仿宋_GB2312" w:cs="仿宋_GB2312"/>
          <w:color w:val="000000"/>
          <w:sz w:val="30"/>
          <w:szCs w:val="30"/>
        </w:rPr>
      </w:pPr>
      <w:r>
        <w:rPr>
          <w:rFonts w:hint="eastAsia" w:ascii="仿宋_GB2312" w:hAnsi="仿宋_GB2312" w:eastAsia="仿宋_GB2312" w:cs="仿宋_GB2312"/>
          <w:color w:val="000000"/>
          <w:sz w:val="30"/>
          <w:szCs w:val="30"/>
          <w:lang w:val="en-US" w:eastAsia="zh-CN"/>
        </w:rPr>
        <w:t>支持期限内服务费：不收取服务费</w:t>
      </w:r>
      <w:r>
        <w:rPr>
          <w:rFonts w:hint="eastAsia" w:ascii="仿宋_GB2312" w:hAnsi="仿宋_GB2312" w:eastAsia="仿宋_GB2312" w:cs="仿宋_GB2312"/>
          <w:color w:val="000000"/>
          <w:sz w:val="30"/>
          <w:szCs w:val="30"/>
          <w:lang w:eastAsia="zh-CN"/>
        </w:rPr>
        <w:t>。</w:t>
      </w:r>
    </w:p>
    <w:p w14:paraId="2BC1C4FA">
      <w:pPr>
        <w:pStyle w:val="7"/>
        <w:keepNext w:val="0"/>
        <w:pageBreakBefore w:val="0"/>
        <w:numPr>
          <w:ilvl w:val="1"/>
          <w:numId w:val="1"/>
        </w:numPr>
        <w:kinsoku/>
        <w:wordWrap/>
        <w:overflowPunct/>
        <w:topLinePunct w:val="0"/>
        <w:autoSpaceDE/>
        <w:autoSpaceDN/>
        <w:bidi w:val="0"/>
        <w:spacing w:before="0" w:beforeAutospacing="0" w:after="0" w:afterAutospacing="0" w:line="240" w:lineRule="auto"/>
        <w:textAlignment w:val="auto"/>
        <w:rPr>
          <w:rFonts w:hint="eastAsia" w:ascii="仿宋_GB2312" w:hAnsi="仿宋_GB2312" w:eastAsia="仿宋_GB2312" w:cs="仿宋_GB2312"/>
          <w:color w:val="000000"/>
          <w:sz w:val="30"/>
          <w:szCs w:val="30"/>
        </w:rPr>
      </w:pPr>
      <w:r>
        <w:rPr>
          <w:rFonts w:hint="eastAsia" w:ascii="仿宋_GB2312" w:hAnsi="仿宋_GB2312" w:eastAsia="仿宋_GB2312" w:cs="仿宋_GB2312"/>
          <w:color w:val="000000"/>
          <w:sz w:val="30"/>
          <w:szCs w:val="30"/>
          <w:lang w:val="en-US" w:eastAsia="zh-CN"/>
        </w:rPr>
        <w:t>支持期后，如甲方决定继续使用算力服务，</w:t>
      </w:r>
      <w:r>
        <w:rPr>
          <w:rFonts w:hint="eastAsia" w:ascii="仿宋_GB2312" w:hAnsi="仿宋_GB2312" w:eastAsia="仿宋_GB2312" w:cs="仿宋_GB2312"/>
          <w:color w:val="000000"/>
          <w:sz w:val="30"/>
          <w:szCs w:val="30"/>
        </w:rPr>
        <w:t>收费标准为≤25000元/节点/月。</w:t>
      </w:r>
    </w:p>
    <w:p w14:paraId="7E799B0E">
      <w:pPr>
        <w:pStyle w:val="3"/>
        <w:keepNext w:val="0"/>
        <w:pageBreakBefore w:val="0"/>
        <w:widowControl/>
        <w:numPr>
          <w:ilvl w:val="0"/>
          <w:numId w:val="1"/>
        </w:numPr>
        <w:kinsoku/>
        <w:wordWrap/>
        <w:overflowPunct/>
        <w:topLinePunct w:val="0"/>
        <w:autoSpaceDE/>
        <w:autoSpaceDN/>
        <w:bidi w:val="0"/>
        <w:spacing w:before="0" w:beforeAutospacing="0" w:after="0" w:afterAutospacing="0" w:line="240" w:lineRule="auto"/>
        <w:textAlignment w:val="auto"/>
        <w:rPr>
          <w:rFonts w:hint="eastAsia" w:ascii="仿宋_GB2312" w:hAnsi="仿宋_GB2312" w:eastAsia="仿宋_GB2312" w:cs="仿宋_GB2312"/>
          <w:color w:val="000000"/>
          <w:sz w:val="30"/>
          <w:szCs w:val="30"/>
        </w:rPr>
      </w:pPr>
      <w:r>
        <w:rPr>
          <w:rFonts w:hint="eastAsia" w:ascii="仿宋_GB2312" w:hAnsi="仿宋_GB2312" w:eastAsia="仿宋_GB2312" w:cs="仿宋_GB2312"/>
          <w:b/>
          <w:sz w:val="30"/>
          <w:szCs w:val="30"/>
          <w:lang w:val="en-US" w:eastAsia="zh-CN"/>
        </w:rPr>
        <w:t>甲方的</w:t>
      </w:r>
      <w:r>
        <w:rPr>
          <w:rFonts w:hint="eastAsia" w:ascii="仿宋_GB2312" w:hAnsi="仿宋_GB2312" w:eastAsia="仿宋_GB2312" w:cs="仿宋_GB2312"/>
          <w:b/>
          <w:sz w:val="30"/>
          <w:szCs w:val="30"/>
        </w:rPr>
        <w:t>权利义务</w:t>
      </w:r>
    </w:p>
    <w:p w14:paraId="06AF9EB6">
      <w:pPr>
        <w:keepNext w:val="0"/>
        <w:keepLines w:val="0"/>
        <w:pageBreakBefore w:val="0"/>
        <w:widowControl/>
        <w:kinsoku/>
        <w:wordWrap/>
        <w:overflowPunct/>
        <w:topLinePunct w:val="0"/>
        <w:autoSpaceDE/>
        <w:autoSpaceDN/>
        <w:bidi w:val="0"/>
        <w:adjustRightInd w:val="0"/>
        <w:snapToGrid w:val="0"/>
        <w:spacing w:after="0" w:line="240" w:lineRule="auto"/>
        <w:ind w:firstLine="0" w:firstLineChars="0"/>
        <w:jc w:val="both"/>
        <w:textAlignment w:val="auto"/>
        <w:rPr>
          <w:rFonts w:hint="eastAsia" w:ascii="仿宋_GB2312" w:hAnsi="仿宋_GB2312" w:eastAsia="仿宋_GB2312" w:cs="仿宋_GB2312"/>
          <w:color w:val="000000"/>
          <w:sz w:val="30"/>
          <w:szCs w:val="30"/>
        </w:rPr>
      </w:pPr>
      <w:r>
        <w:rPr>
          <w:rFonts w:hint="eastAsia" w:ascii="仿宋_GB2312" w:hAnsi="仿宋_GB2312" w:eastAsia="仿宋_GB2312" w:cs="仿宋_GB2312"/>
          <w:color w:val="000000"/>
          <w:sz w:val="30"/>
          <w:szCs w:val="30"/>
          <w:lang w:val="en-US" w:eastAsia="zh-CN"/>
        </w:rPr>
        <w:t>4.1</w:t>
      </w:r>
      <w:r>
        <w:rPr>
          <w:rFonts w:hint="eastAsia" w:ascii="仿宋_GB2312" w:hAnsi="仿宋_GB2312" w:eastAsia="仿宋_GB2312" w:cs="仿宋_GB2312"/>
          <w:color w:val="000000"/>
          <w:sz w:val="30"/>
          <w:szCs w:val="30"/>
        </w:rPr>
        <w:t>甲方不得利用乙方提供的人工智能算力服务从事危害国家安全和其它违反中华人民共和国有关法律法规的活动，不得恶意耗费乙方计算资源与网络流量。</w:t>
      </w:r>
    </w:p>
    <w:p w14:paraId="6BC66950">
      <w:pPr>
        <w:keepNext w:val="0"/>
        <w:keepLines w:val="0"/>
        <w:pageBreakBefore w:val="0"/>
        <w:widowControl/>
        <w:kinsoku/>
        <w:wordWrap/>
        <w:overflowPunct/>
        <w:topLinePunct w:val="0"/>
        <w:autoSpaceDE/>
        <w:autoSpaceDN/>
        <w:bidi w:val="0"/>
        <w:adjustRightInd w:val="0"/>
        <w:snapToGrid w:val="0"/>
        <w:spacing w:after="0" w:line="240" w:lineRule="auto"/>
        <w:ind w:firstLine="0" w:firstLineChars="0"/>
        <w:jc w:val="both"/>
        <w:textAlignment w:val="auto"/>
        <w:rPr>
          <w:rFonts w:hint="eastAsia" w:ascii="仿宋_GB2312" w:hAnsi="仿宋_GB2312" w:eastAsia="仿宋_GB2312" w:cs="仿宋_GB2312"/>
          <w:color w:val="000000"/>
          <w:sz w:val="30"/>
          <w:szCs w:val="30"/>
        </w:rPr>
      </w:pPr>
      <w:r>
        <w:rPr>
          <w:rFonts w:hint="eastAsia" w:ascii="仿宋_GB2312" w:hAnsi="仿宋_GB2312" w:eastAsia="仿宋_GB2312" w:cs="仿宋_GB2312"/>
          <w:color w:val="000000"/>
          <w:sz w:val="30"/>
          <w:szCs w:val="30"/>
          <w:lang w:val="en-US" w:eastAsia="zh-CN"/>
        </w:rPr>
        <w:t>4.2</w:t>
      </w:r>
      <w:r>
        <w:rPr>
          <w:rFonts w:hint="eastAsia" w:ascii="仿宋_GB2312" w:hAnsi="仿宋_GB2312" w:eastAsia="仿宋_GB2312" w:cs="仿宋_GB2312"/>
          <w:color w:val="000000"/>
          <w:sz w:val="30"/>
          <w:szCs w:val="30"/>
        </w:rPr>
        <w:t>甲方利用乙方资源产生的数据及成果的知识产权归甲方所有，乙方不能将其透露给任何第三方或移作他用。</w:t>
      </w:r>
    </w:p>
    <w:p w14:paraId="7ABDF39F">
      <w:pPr>
        <w:keepNext w:val="0"/>
        <w:keepLines w:val="0"/>
        <w:pageBreakBefore w:val="0"/>
        <w:widowControl/>
        <w:suppressLineNumbers w:val="0"/>
        <w:kinsoku/>
        <w:wordWrap/>
        <w:overflowPunct/>
        <w:topLinePunct w:val="0"/>
        <w:autoSpaceDE/>
        <w:autoSpaceDN/>
        <w:bidi w:val="0"/>
        <w:spacing w:line="240" w:lineRule="auto"/>
        <w:jc w:val="left"/>
        <w:textAlignment w:val="auto"/>
        <w:rPr>
          <w:rFonts w:hint="eastAsia" w:ascii="仿宋_GB2312" w:hAnsi="仿宋_GB2312" w:eastAsia="仿宋_GB2312" w:cs="仿宋_GB2312"/>
          <w:color w:val="000000"/>
          <w:sz w:val="30"/>
          <w:szCs w:val="30"/>
          <w:lang w:eastAsia="zh-CN"/>
        </w:rPr>
      </w:pPr>
      <w:r>
        <w:rPr>
          <w:rFonts w:hint="eastAsia" w:ascii="仿宋_GB2312" w:hAnsi="仿宋_GB2312" w:eastAsia="仿宋_GB2312" w:cs="仿宋_GB2312"/>
          <w:color w:val="000000"/>
          <w:sz w:val="30"/>
          <w:szCs w:val="30"/>
          <w:lang w:val="en-US" w:eastAsia="zh-CN"/>
        </w:rPr>
        <w:t>4.3</w:t>
      </w:r>
      <w:r>
        <w:rPr>
          <w:rFonts w:hint="eastAsia" w:ascii="仿宋_GB2312" w:hAnsi="仿宋_GB2312" w:eastAsia="仿宋_GB2312" w:cs="仿宋_GB2312"/>
          <w:color w:val="000000"/>
          <w:sz w:val="30"/>
          <w:szCs w:val="30"/>
        </w:rPr>
        <w:t>甲方须自行备份全部数据及其相关文件</w:t>
      </w:r>
      <w:r>
        <w:rPr>
          <w:rFonts w:hint="eastAsia" w:ascii="仿宋_GB2312" w:hAnsi="仿宋_GB2312" w:eastAsia="仿宋_GB2312" w:cs="仿宋_GB2312"/>
          <w:color w:val="000000"/>
          <w:sz w:val="30"/>
          <w:szCs w:val="30"/>
          <w:lang w:eastAsia="zh-CN"/>
        </w:rPr>
        <w:t>，</w:t>
      </w:r>
      <w:r>
        <w:rPr>
          <w:rFonts w:hint="eastAsia" w:ascii="仿宋_GB2312" w:hAnsi="仿宋_GB2312" w:eastAsia="仿宋_GB2312" w:cs="仿宋_GB2312"/>
          <w:sz w:val="30"/>
          <w:szCs w:val="30"/>
          <w:lang w:val="en-US" w:eastAsia="zh-CN"/>
        </w:rPr>
        <w:t>乙方对任何情况下发生的资料丢失或损坏不承担责任。</w:t>
      </w:r>
    </w:p>
    <w:p w14:paraId="03C70F78">
      <w:pPr>
        <w:keepNext w:val="0"/>
        <w:keepLines w:val="0"/>
        <w:pageBreakBefore w:val="0"/>
        <w:widowControl/>
        <w:tabs>
          <w:tab w:val="left" w:pos="981"/>
        </w:tabs>
        <w:kinsoku/>
        <w:wordWrap/>
        <w:overflowPunct/>
        <w:topLinePunct w:val="0"/>
        <w:autoSpaceDE/>
        <w:autoSpaceDN/>
        <w:bidi w:val="0"/>
        <w:adjustRightInd w:val="0"/>
        <w:snapToGrid w:val="0"/>
        <w:spacing w:after="0" w:line="240" w:lineRule="auto"/>
        <w:ind w:firstLine="0" w:firstLineChars="0"/>
        <w:jc w:val="both"/>
        <w:textAlignment w:val="auto"/>
        <w:rPr>
          <w:rFonts w:hint="eastAsia" w:ascii="仿宋_GB2312" w:hAnsi="仿宋_GB2312" w:eastAsia="仿宋_GB2312" w:cs="仿宋_GB2312"/>
          <w:color w:val="000000"/>
          <w:sz w:val="30"/>
          <w:szCs w:val="30"/>
        </w:rPr>
      </w:pPr>
      <w:r>
        <w:rPr>
          <w:rFonts w:hint="eastAsia" w:ascii="仿宋_GB2312" w:hAnsi="仿宋_GB2312" w:eastAsia="仿宋_GB2312" w:cs="仿宋_GB2312"/>
          <w:color w:val="000000"/>
          <w:sz w:val="30"/>
          <w:szCs w:val="30"/>
          <w:lang w:val="en-US" w:eastAsia="zh-CN"/>
        </w:rPr>
        <w:t>4.4</w:t>
      </w:r>
      <w:r>
        <w:rPr>
          <w:rFonts w:hint="eastAsia" w:ascii="仿宋_GB2312" w:hAnsi="仿宋_GB2312" w:eastAsia="仿宋_GB2312" w:cs="仿宋_GB2312"/>
          <w:color w:val="000000"/>
          <w:sz w:val="30"/>
          <w:szCs w:val="30"/>
        </w:rPr>
        <w:t>甲方不得擅自删除、复制、修改、移动乙方服务器数据，不得泄露服务器相关信息</w:t>
      </w:r>
      <w:r>
        <w:rPr>
          <w:rFonts w:hint="eastAsia" w:ascii="仿宋_GB2312" w:hAnsi="仿宋_GB2312" w:eastAsia="仿宋_GB2312" w:cs="仿宋_GB2312"/>
          <w:color w:val="000000"/>
          <w:sz w:val="30"/>
          <w:szCs w:val="30"/>
          <w:lang w:eastAsia="zh-CN"/>
        </w:rPr>
        <w:t>，</w:t>
      </w:r>
      <w:r>
        <w:rPr>
          <w:rFonts w:hint="eastAsia" w:ascii="仿宋_GB2312" w:hAnsi="仿宋_GB2312" w:eastAsia="仿宋_GB2312" w:cs="仿宋_GB2312"/>
          <w:color w:val="000000"/>
          <w:sz w:val="30"/>
          <w:szCs w:val="30"/>
        </w:rPr>
        <w:t>保证不进行影响主机正常运行的操作</w:t>
      </w:r>
      <w:r>
        <w:rPr>
          <w:rFonts w:hint="eastAsia" w:ascii="仿宋_GB2312" w:hAnsi="仿宋_GB2312" w:eastAsia="仿宋_GB2312" w:cs="仿宋_GB2312"/>
          <w:color w:val="000000"/>
          <w:sz w:val="30"/>
          <w:szCs w:val="30"/>
          <w:lang w:eastAsia="zh-CN"/>
        </w:rPr>
        <w:t>。</w:t>
      </w:r>
      <w:r>
        <w:rPr>
          <w:rFonts w:hint="eastAsia" w:ascii="仿宋_GB2312" w:hAnsi="仿宋_GB2312" w:eastAsia="仿宋_GB2312" w:cs="仿宋_GB2312"/>
          <w:color w:val="000000"/>
          <w:sz w:val="30"/>
          <w:szCs w:val="30"/>
        </w:rPr>
        <w:t>如发生上述操作，乙方有权</w:t>
      </w:r>
      <w:r>
        <w:rPr>
          <w:rFonts w:hint="eastAsia" w:ascii="仿宋_GB2312" w:hAnsi="仿宋_GB2312" w:eastAsia="仿宋_GB2312" w:cs="仿宋_GB2312"/>
          <w:color w:val="000000"/>
          <w:sz w:val="30"/>
          <w:szCs w:val="30"/>
          <w:lang w:val="en-US"/>
        </w:rPr>
        <w:t>立即</w:t>
      </w:r>
      <w:r>
        <w:rPr>
          <w:rFonts w:hint="eastAsia" w:ascii="仿宋_GB2312" w:hAnsi="仿宋_GB2312" w:eastAsia="仿宋_GB2312" w:cs="仿宋_GB2312"/>
          <w:color w:val="000000"/>
          <w:sz w:val="30"/>
          <w:szCs w:val="30"/>
        </w:rPr>
        <w:t>终止甲方操作，</w:t>
      </w:r>
      <w:r>
        <w:rPr>
          <w:rFonts w:hint="eastAsia" w:ascii="仿宋_GB2312" w:hAnsi="仿宋_GB2312" w:eastAsia="仿宋_GB2312" w:cs="仿宋_GB2312"/>
          <w:color w:val="000000"/>
          <w:sz w:val="30"/>
          <w:szCs w:val="30"/>
          <w:lang w:val="en-US"/>
        </w:rPr>
        <w:t>且乙方无需就立即终止甲方操作的行为承担任何违约或赔偿责任</w:t>
      </w:r>
      <w:r>
        <w:rPr>
          <w:rFonts w:hint="eastAsia" w:ascii="仿宋_GB2312" w:hAnsi="仿宋_GB2312" w:eastAsia="仿宋_GB2312" w:cs="仿宋_GB2312"/>
          <w:color w:val="000000"/>
          <w:sz w:val="30"/>
          <w:szCs w:val="30"/>
        </w:rPr>
        <w:t>。</w:t>
      </w:r>
    </w:p>
    <w:p w14:paraId="3D3BD64C">
      <w:pPr>
        <w:keepNext w:val="0"/>
        <w:keepLines w:val="0"/>
        <w:pageBreakBefore w:val="0"/>
        <w:widowControl/>
        <w:tabs>
          <w:tab w:val="left" w:pos="981"/>
        </w:tabs>
        <w:kinsoku/>
        <w:wordWrap/>
        <w:overflowPunct/>
        <w:topLinePunct w:val="0"/>
        <w:autoSpaceDE/>
        <w:autoSpaceDN/>
        <w:bidi w:val="0"/>
        <w:adjustRightInd w:val="0"/>
        <w:snapToGrid w:val="0"/>
        <w:spacing w:after="0" w:line="240" w:lineRule="auto"/>
        <w:ind w:firstLine="0" w:firstLineChars="0"/>
        <w:jc w:val="both"/>
        <w:textAlignment w:val="auto"/>
        <w:rPr>
          <w:rFonts w:hint="eastAsia" w:ascii="仿宋_GB2312" w:hAnsi="仿宋_GB2312" w:eastAsia="仿宋_GB2312" w:cs="仿宋_GB2312"/>
          <w:color w:val="000000"/>
          <w:sz w:val="30"/>
          <w:szCs w:val="30"/>
          <w:lang w:val="en-US" w:eastAsia="zh-CN"/>
        </w:rPr>
      </w:pPr>
      <w:r>
        <w:rPr>
          <w:rFonts w:hint="eastAsia" w:ascii="仿宋_GB2312" w:hAnsi="仿宋_GB2312" w:eastAsia="仿宋_GB2312" w:cs="仿宋_GB2312"/>
          <w:color w:val="000000"/>
          <w:sz w:val="30"/>
          <w:szCs w:val="30"/>
          <w:lang w:val="en-US" w:eastAsia="zh-CN"/>
        </w:rPr>
        <w:t>4.5</w:t>
      </w:r>
      <w:r>
        <w:rPr>
          <w:rFonts w:hint="eastAsia" w:ascii="仿宋_GB2312" w:hAnsi="仿宋_GB2312" w:eastAsia="仿宋_GB2312" w:cs="仿宋_GB2312"/>
          <w:color w:val="000000"/>
          <w:sz w:val="30"/>
          <w:szCs w:val="30"/>
        </w:rPr>
        <w:t>甲方对本合同内容具有保密义务，包括但不限于合同金额、单价以及资源规模等；如</w:t>
      </w:r>
      <w:r>
        <w:rPr>
          <w:rFonts w:hint="eastAsia" w:ascii="仿宋_GB2312" w:hAnsi="仿宋_GB2312" w:eastAsia="仿宋_GB2312" w:cs="仿宋_GB2312"/>
          <w:color w:val="000000"/>
          <w:sz w:val="30"/>
          <w:szCs w:val="30"/>
          <w:lang w:val="en-US"/>
        </w:rPr>
        <w:t>甲方</w:t>
      </w:r>
      <w:r>
        <w:rPr>
          <w:rFonts w:hint="eastAsia" w:ascii="仿宋_GB2312" w:hAnsi="仿宋_GB2312" w:eastAsia="仿宋_GB2312" w:cs="仿宋_GB2312"/>
          <w:color w:val="000000"/>
          <w:sz w:val="30"/>
          <w:szCs w:val="30"/>
        </w:rPr>
        <w:t>因上市等原因需向第三方披露本合同内容的，</w:t>
      </w:r>
      <w:r>
        <w:rPr>
          <w:rFonts w:hint="eastAsia" w:ascii="仿宋_GB2312" w:hAnsi="仿宋_GB2312" w:eastAsia="仿宋_GB2312" w:cs="仿宋_GB2312"/>
          <w:color w:val="000000"/>
          <w:sz w:val="30"/>
          <w:szCs w:val="30"/>
          <w:lang w:val="en-US"/>
        </w:rPr>
        <w:t>甲方须在</w:t>
      </w:r>
      <w:r>
        <w:rPr>
          <w:rFonts w:hint="eastAsia" w:ascii="仿宋_GB2312" w:hAnsi="仿宋_GB2312" w:eastAsia="仿宋_GB2312" w:cs="仿宋_GB2312"/>
          <w:color w:val="000000"/>
          <w:sz w:val="30"/>
          <w:szCs w:val="30"/>
        </w:rPr>
        <w:t>征得乙方书面同意后方可披露。</w:t>
      </w:r>
    </w:p>
    <w:p w14:paraId="6D1E6FE9">
      <w:pPr>
        <w:pStyle w:val="3"/>
        <w:keepNext w:val="0"/>
        <w:pageBreakBefore w:val="0"/>
        <w:widowControl/>
        <w:numPr>
          <w:ilvl w:val="0"/>
          <w:numId w:val="1"/>
        </w:numPr>
        <w:kinsoku/>
        <w:wordWrap/>
        <w:overflowPunct/>
        <w:topLinePunct w:val="0"/>
        <w:autoSpaceDE/>
        <w:autoSpaceDN/>
        <w:bidi w:val="0"/>
        <w:spacing w:before="0" w:beforeAutospacing="0" w:after="0" w:afterAutospacing="0" w:line="240" w:lineRule="auto"/>
        <w:textAlignment w:val="auto"/>
        <w:rPr>
          <w:rFonts w:hint="eastAsia" w:ascii="仿宋_GB2312" w:hAnsi="仿宋_GB2312" w:eastAsia="仿宋_GB2312" w:cs="仿宋_GB2312"/>
          <w:color w:val="000000"/>
          <w:sz w:val="30"/>
          <w:szCs w:val="30"/>
        </w:rPr>
      </w:pPr>
      <w:r>
        <w:rPr>
          <w:rFonts w:hint="eastAsia" w:ascii="仿宋_GB2312" w:hAnsi="仿宋_GB2312" w:eastAsia="仿宋_GB2312" w:cs="仿宋_GB2312"/>
          <w:color w:val="000000"/>
          <w:sz w:val="30"/>
          <w:szCs w:val="30"/>
          <w:lang w:val="en-US" w:eastAsia="zh-CN"/>
        </w:rPr>
        <w:t>乙方的权利义务</w:t>
      </w:r>
    </w:p>
    <w:p w14:paraId="509FDDC7">
      <w:pPr>
        <w:keepNext w:val="0"/>
        <w:keepLines w:val="0"/>
        <w:pageBreakBefore w:val="0"/>
        <w:widowControl/>
        <w:suppressLineNumbers w:val="0"/>
        <w:kinsoku/>
        <w:wordWrap/>
        <w:overflowPunct/>
        <w:topLinePunct w:val="0"/>
        <w:autoSpaceDE/>
        <w:autoSpaceDN/>
        <w:bidi w:val="0"/>
        <w:spacing w:line="240" w:lineRule="auto"/>
        <w:jc w:val="left"/>
        <w:textAlignment w:val="auto"/>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lang w:val="en-US" w:eastAsia="zh-CN"/>
        </w:rPr>
        <w:t>5.1在乙方为甲方提供服务的过程中，乙方承诺不得恶意使用甲方的程序和数据、计算活动及相关客户资料。对甲方在使用算力服务过程中涉及的业务数据严格保密，不得泄露、出售或用于其他任何非本合同目的的用途。</w:t>
      </w:r>
    </w:p>
    <w:p w14:paraId="198D14DB">
      <w:pPr>
        <w:keepNext w:val="0"/>
        <w:keepLines w:val="0"/>
        <w:pageBreakBefore w:val="0"/>
        <w:widowControl/>
        <w:suppressLineNumbers w:val="0"/>
        <w:kinsoku/>
        <w:wordWrap/>
        <w:overflowPunct/>
        <w:topLinePunct w:val="0"/>
        <w:autoSpaceDE/>
        <w:autoSpaceDN/>
        <w:bidi w:val="0"/>
        <w:spacing w:line="240" w:lineRule="auto"/>
        <w:jc w:val="left"/>
        <w:textAlignment w:val="auto"/>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lang w:val="en-US" w:eastAsia="zh-CN"/>
        </w:rPr>
        <w:t>5.2在支持期内，如乙方需对系统进行常规的维护、升级等，乙方应提前 3 个工作日告知甲方，便于甲方采取相应措施。</w:t>
      </w:r>
    </w:p>
    <w:p w14:paraId="4D367CAC">
      <w:pPr>
        <w:keepNext w:val="0"/>
        <w:keepLines w:val="0"/>
        <w:pageBreakBefore w:val="0"/>
        <w:widowControl/>
        <w:suppressLineNumbers w:val="0"/>
        <w:kinsoku/>
        <w:wordWrap/>
        <w:overflowPunct/>
        <w:topLinePunct w:val="0"/>
        <w:autoSpaceDE/>
        <w:autoSpaceDN/>
        <w:bidi w:val="0"/>
        <w:spacing w:line="240" w:lineRule="auto"/>
        <w:jc w:val="left"/>
        <w:textAlignment w:val="auto"/>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lang w:val="en-US" w:eastAsia="zh-CN"/>
        </w:rPr>
        <w:t>5.3支持期内，乙方向甲方提供的服务标准以实际提供为准，乙方不承诺支持服务能达到任何特定标准或效果，不对网络连接速度和稳定性作任何保证。</w:t>
      </w:r>
    </w:p>
    <w:p w14:paraId="0E69AC6C">
      <w:pPr>
        <w:keepNext w:val="0"/>
        <w:keepLines w:val="0"/>
        <w:pageBreakBefore w:val="0"/>
        <w:widowControl/>
        <w:suppressLineNumbers w:val="0"/>
        <w:kinsoku/>
        <w:wordWrap/>
        <w:overflowPunct/>
        <w:topLinePunct w:val="0"/>
        <w:autoSpaceDE/>
        <w:autoSpaceDN/>
        <w:bidi w:val="0"/>
        <w:spacing w:line="240" w:lineRule="auto"/>
        <w:jc w:val="left"/>
        <w:textAlignment w:val="auto"/>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lang w:val="en-US" w:eastAsia="zh-CN"/>
        </w:rPr>
        <w:t>5.4乙方有权在合同到期后 30 日内清除甲方在算力中心的数据。</w:t>
      </w:r>
    </w:p>
    <w:p w14:paraId="2B811DE5">
      <w:pPr>
        <w:pStyle w:val="3"/>
        <w:keepNext w:val="0"/>
        <w:pageBreakBefore w:val="0"/>
        <w:widowControl/>
        <w:numPr>
          <w:ilvl w:val="0"/>
          <w:numId w:val="1"/>
        </w:numPr>
        <w:kinsoku/>
        <w:wordWrap/>
        <w:overflowPunct/>
        <w:topLinePunct w:val="0"/>
        <w:autoSpaceDE/>
        <w:autoSpaceDN/>
        <w:bidi w:val="0"/>
        <w:spacing w:before="0" w:beforeAutospacing="0" w:after="0" w:afterAutospacing="0" w:line="240" w:lineRule="auto"/>
        <w:textAlignment w:val="auto"/>
        <w:rPr>
          <w:rFonts w:hint="eastAsia" w:ascii="仿宋_GB2312" w:hAnsi="仿宋_GB2312" w:eastAsia="仿宋_GB2312" w:cs="仿宋_GB2312"/>
          <w:color w:val="000000"/>
          <w:sz w:val="30"/>
          <w:szCs w:val="30"/>
        </w:rPr>
      </w:pPr>
      <w:r>
        <w:rPr>
          <w:rFonts w:hint="eastAsia" w:ascii="仿宋_GB2312" w:hAnsi="仿宋_GB2312" w:eastAsia="仿宋_GB2312" w:cs="仿宋_GB2312"/>
          <w:b/>
          <w:sz w:val="30"/>
          <w:szCs w:val="30"/>
        </w:rPr>
        <w:t>违约责任</w:t>
      </w:r>
    </w:p>
    <w:p w14:paraId="00EF9E98">
      <w:pPr>
        <w:keepNext w:val="0"/>
        <w:pageBreakBefore w:val="0"/>
        <w:widowControl/>
        <w:kinsoku/>
        <w:wordWrap/>
        <w:overflowPunct/>
        <w:topLinePunct w:val="0"/>
        <w:autoSpaceDE/>
        <w:autoSpaceDN/>
        <w:bidi w:val="0"/>
        <w:spacing w:line="240" w:lineRule="auto"/>
        <w:textAlignment w:val="auto"/>
        <w:rPr>
          <w:rFonts w:hint="eastAsia" w:ascii="仿宋_GB2312" w:hAnsi="仿宋_GB2312" w:eastAsia="仿宋_GB2312" w:cs="仿宋_GB2312"/>
          <w:b w:val="0"/>
          <w:bCs/>
          <w:sz w:val="30"/>
          <w:szCs w:val="30"/>
          <w:lang w:val="en-US" w:eastAsia="zh-CN"/>
        </w:rPr>
      </w:pPr>
      <w:r>
        <w:rPr>
          <w:rFonts w:hint="eastAsia" w:ascii="仿宋_GB2312" w:hAnsi="仿宋_GB2312" w:eastAsia="仿宋_GB2312" w:cs="仿宋_GB2312"/>
          <w:b w:val="0"/>
          <w:bCs/>
          <w:sz w:val="30"/>
          <w:szCs w:val="30"/>
          <w:lang w:val="en-US" w:eastAsia="zh-CN"/>
        </w:rPr>
        <w:t>6.1因甲方原因导致乙方服务器受损或需要额外维护的，甲方应承担全部维修费用及因此给乙方造成的损失。</w:t>
      </w:r>
    </w:p>
    <w:p w14:paraId="7AC4C664">
      <w:pPr>
        <w:keepNext w:val="0"/>
        <w:pageBreakBefore w:val="0"/>
        <w:widowControl/>
        <w:kinsoku/>
        <w:wordWrap/>
        <w:overflowPunct/>
        <w:topLinePunct w:val="0"/>
        <w:autoSpaceDE/>
        <w:autoSpaceDN/>
        <w:bidi w:val="0"/>
        <w:spacing w:line="240" w:lineRule="auto"/>
        <w:textAlignment w:val="auto"/>
        <w:rPr>
          <w:rFonts w:hint="eastAsia" w:ascii="仿宋_GB2312" w:hAnsi="仿宋_GB2312" w:eastAsia="仿宋_GB2312" w:cs="仿宋_GB2312"/>
          <w:b w:val="0"/>
          <w:bCs/>
          <w:sz w:val="30"/>
          <w:szCs w:val="30"/>
          <w:lang w:val="en-US" w:eastAsia="zh-CN"/>
        </w:rPr>
      </w:pPr>
      <w:r>
        <w:rPr>
          <w:rFonts w:hint="eastAsia" w:ascii="仿宋_GB2312" w:hAnsi="仿宋_GB2312" w:eastAsia="仿宋_GB2312" w:cs="仿宋_GB2312"/>
          <w:b w:val="0"/>
          <w:bCs/>
          <w:sz w:val="30"/>
          <w:szCs w:val="30"/>
          <w:lang w:val="en-US" w:eastAsia="zh-CN"/>
        </w:rPr>
        <w:t>6.2双方使用或提供本合同项下提供的服务时，不会导致或实施任何对对方或第三方的侵权行为（包括但不限于对著作权、商标权、专利权等知识产权以及其他针对人身、财产、商业秘密所进行的侵权行为）。若一方因另一方上述侵权行为而被任何第三方起诉或追索，侵权方应保证未侵权方不受任何侵害，并协助未侵权方履行抗辩，且最终承担未侵权方因此遭受的全部损失。</w:t>
      </w:r>
    </w:p>
    <w:p w14:paraId="68286557">
      <w:pPr>
        <w:keepNext w:val="0"/>
        <w:pageBreakBefore w:val="0"/>
        <w:widowControl/>
        <w:kinsoku/>
        <w:wordWrap/>
        <w:overflowPunct/>
        <w:topLinePunct w:val="0"/>
        <w:autoSpaceDE/>
        <w:autoSpaceDN/>
        <w:bidi w:val="0"/>
        <w:spacing w:line="240" w:lineRule="auto"/>
        <w:textAlignment w:val="auto"/>
        <w:rPr>
          <w:rFonts w:hint="eastAsia" w:ascii="仿宋_GB2312" w:hAnsi="仿宋_GB2312" w:eastAsia="仿宋_GB2312" w:cs="仿宋_GB2312"/>
          <w:b w:val="0"/>
          <w:bCs/>
          <w:sz w:val="30"/>
          <w:szCs w:val="30"/>
          <w:lang w:val="en-US" w:eastAsia="zh-CN"/>
        </w:rPr>
      </w:pPr>
      <w:r>
        <w:rPr>
          <w:rFonts w:hint="eastAsia" w:ascii="仿宋_GB2312" w:hAnsi="仿宋_GB2312" w:eastAsia="仿宋_GB2312" w:cs="仿宋_GB2312"/>
          <w:b w:val="0"/>
          <w:bCs/>
          <w:sz w:val="30"/>
          <w:szCs w:val="30"/>
          <w:lang w:val="en-US" w:eastAsia="zh-CN"/>
        </w:rPr>
        <w:t>6.3因任何原因导致乙方服务中断的，乙方应在合理期限以及能力范围内修复，但乙方不承担任何违约责任，支持期限不予延长。</w:t>
      </w:r>
    </w:p>
    <w:p w14:paraId="7CAB87E6">
      <w:pPr>
        <w:pStyle w:val="3"/>
        <w:keepNext w:val="0"/>
        <w:pageBreakBefore w:val="0"/>
        <w:widowControl/>
        <w:numPr>
          <w:ilvl w:val="0"/>
          <w:numId w:val="1"/>
        </w:numPr>
        <w:kinsoku/>
        <w:wordWrap/>
        <w:overflowPunct/>
        <w:topLinePunct w:val="0"/>
        <w:autoSpaceDE/>
        <w:autoSpaceDN/>
        <w:bidi w:val="0"/>
        <w:spacing w:before="0" w:beforeAutospacing="0" w:after="0" w:afterAutospacing="0" w:line="240" w:lineRule="auto"/>
        <w:textAlignment w:val="auto"/>
        <w:rPr>
          <w:rFonts w:hint="eastAsia" w:ascii="仿宋_GB2312" w:hAnsi="仿宋_GB2312" w:eastAsia="仿宋_GB2312" w:cs="仿宋_GB2312"/>
          <w:color w:val="000000"/>
          <w:sz w:val="30"/>
          <w:szCs w:val="30"/>
        </w:rPr>
      </w:pPr>
      <w:r>
        <w:rPr>
          <w:rFonts w:hint="eastAsia" w:ascii="仿宋_GB2312" w:hAnsi="仿宋_GB2312" w:eastAsia="仿宋_GB2312" w:cs="仿宋_GB2312"/>
          <w:sz w:val="30"/>
          <w:szCs w:val="30"/>
        </w:rPr>
        <w:t>争议解决</w:t>
      </w:r>
    </w:p>
    <w:p w14:paraId="27C39C95">
      <w:pPr>
        <w:pStyle w:val="7"/>
        <w:keepNext w:val="0"/>
        <w:pageBreakBefore w:val="0"/>
        <w:widowControl/>
        <w:kinsoku/>
        <w:wordWrap/>
        <w:overflowPunct/>
        <w:topLinePunct w:val="0"/>
        <w:autoSpaceDE/>
        <w:autoSpaceDN/>
        <w:bidi w:val="0"/>
        <w:spacing w:before="0" w:beforeAutospacing="0" w:after="0" w:afterAutospacing="0" w:line="240" w:lineRule="auto"/>
        <w:textAlignment w:val="auto"/>
        <w:rPr>
          <w:rFonts w:hint="eastAsia" w:ascii="仿宋_GB2312" w:hAnsi="仿宋_GB2312" w:eastAsia="仿宋_GB2312" w:cs="仿宋_GB2312"/>
          <w:color w:val="000000"/>
          <w:sz w:val="30"/>
          <w:szCs w:val="30"/>
        </w:rPr>
      </w:pPr>
      <w:r>
        <w:rPr>
          <w:rFonts w:hint="eastAsia" w:ascii="仿宋_GB2312" w:hAnsi="仿宋_GB2312" w:eastAsia="仿宋_GB2312" w:cs="仿宋_GB2312"/>
          <w:color w:val="000000"/>
          <w:sz w:val="30"/>
          <w:szCs w:val="30"/>
        </w:rPr>
        <w:t>因本合同引起或有关的任何争议，由合同各方协商解决，也可由有关部门调解。协商或调解不成的，应向</w:t>
      </w:r>
      <w:r>
        <w:rPr>
          <w:rFonts w:hint="eastAsia" w:ascii="仿宋_GB2312" w:hAnsi="仿宋_GB2312" w:eastAsia="仿宋_GB2312" w:cs="仿宋_GB2312"/>
          <w:color w:val="000000"/>
          <w:sz w:val="30"/>
          <w:szCs w:val="30"/>
          <w:lang w:val="en-US" w:eastAsia="zh-CN"/>
        </w:rPr>
        <w:t>乙方所在地</w:t>
      </w:r>
      <w:r>
        <w:rPr>
          <w:rFonts w:hint="eastAsia" w:ascii="仿宋_GB2312" w:hAnsi="仿宋_GB2312" w:eastAsia="仿宋_GB2312" w:cs="仿宋_GB2312"/>
          <w:color w:val="000000"/>
          <w:sz w:val="30"/>
          <w:szCs w:val="30"/>
        </w:rPr>
        <w:t>有管辖权的人民法院起诉。</w:t>
      </w:r>
    </w:p>
    <w:p w14:paraId="3652AD18">
      <w:pPr>
        <w:pStyle w:val="3"/>
        <w:keepNext w:val="0"/>
        <w:pageBreakBefore w:val="0"/>
        <w:widowControl/>
        <w:numPr>
          <w:ilvl w:val="0"/>
          <w:numId w:val="1"/>
        </w:numPr>
        <w:kinsoku/>
        <w:wordWrap/>
        <w:overflowPunct/>
        <w:topLinePunct w:val="0"/>
        <w:autoSpaceDE/>
        <w:autoSpaceDN/>
        <w:bidi w:val="0"/>
        <w:spacing w:before="0" w:beforeAutospacing="0" w:after="0" w:afterAutospacing="0" w:line="240" w:lineRule="auto"/>
        <w:textAlignment w:val="auto"/>
        <w:rPr>
          <w:rFonts w:hint="eastAsia" w:ascii="仿宋_GB2312" w:hAnsi="仿宋_GB2312" w:eastAsia="仿宋_GB2312" w:cs="仿宋_GB2312"/>
          <w:color w:val="000000"/>
          <w:sz w:val="30"/>
          <w:szCs w:val="30"/>
        </w:rPr>
      </w:pPr>
      <w:r>
        <w:rPr>
          <w:rFonts w:hint="eastAsia" w:ascii="仿宋_GB2312" w:hAnsi="仿宋_GB2312" w:eastAsia="仿宋_GB2312" w:cs="仿宋_GB2312"/>
          <w:sz w:val="30"/>
          <w:szCs w:val="30"/>
        </w:rPr>
        <w:t>附则</w:t>
      </w:r>
    </w:p>
    <w:p w14:paraId="6DD5CEB6">
      <w:pPr>
        <w:pStyle w:val="7"/>
        <w:keepNext w:val="0"/>
        <w:pageBreakBefore w:val="0"/>
        <w:widowControl/>
        <w:numPr>
          <w:ilvl w:val="1"/>
          <w:numId w:val="1"/>
        </w:numPr>
        <w:kinsoku/>
        <w:wordWrap/>
        <w:overflowPunct/>
        <w:topLinePunct w:val="0"/>
        <w:autoSpaceDE/>
        <w:autoSpaceDN/>
        <w:bidi w:val="0"/>
        <w:spacing w:before="0" w:beforeAutospacing="0" w:after="0" w:afterAutospacing="0" w:line="240" w:lineRule="auto"/>
        <w:textAlignment w:val="auto"/>
        <w:rPr>
          <w:rFonts w:hint="eastAsia" w:ascii="仿宋_GB2312" w:hAnsi="仿宋_GB2312" w:eastAsia="仿宋_GB2312" w:cs="仿宋_GB2312"/>
          <w:color w:val="000000"/>
          <w:sz w:val="30"/>
          <w:szCs w:val="30"/>
        </w:rPr>
      </w:pPr>
      <w:r>
        <w:rPr>
          <w:rFonts w:hint="eastAsia" w:ascii="仿宋_GB2312" w:hAnsi="仿宋_GB2312" w:eastAsia="仿宋_GB2312" w:cs="仿宋_GB2312"/>
          <w:color w:val="000000"/>
          <w:sz w:val="30"/>
          <w:szCs w:val="30"/>
        </w:rPr>
        <w:t>本合同一式</w:t>
      </w:r>
      <w:r>
        <w:rPr>
          <w:rFonts w:hint="eastAsia" w:ascii="仿宋_GB2312" w:hAnsi="仿宋_GB2312" w:eastAsia="仿宋_GB2312" w:cs="仿宋_GB2312"/>
          <w:color w:val="000000"/>
          <w:sz w:val="30"/>
          <w:szCs w:val="30"/>
          <w:lang w:val="en-US" w:eastAsia="zh-CN"/>
        </w:rPr>
        <w:t>贰</w:t>
      </w:r>
      <w:r>
        <w:rPr>
          <w:rFonts w:hint="eastAsia" w:ascii="仿宋_GB2312" w:hAnsi="仿宋_GB2312" w:eastAsia="仿宋_GB2312" w:cs="仿宋_GB2312"/>
          <w:color w:val="000000"/>
          <w:sz w:val="30"/>
          <w:szCs w:val="30"/>
        </w:rPr>
        <w:t>份，合同各方各执</w:t>
      </w:r>
      <w:r>
        <w:rPr>
          <w:rFonts w:hint="eastAsia" w:ascii="仿宋_GB2312" w:hAnsi="仿宋_GB2312" w:eastAsia="仿宋_GB2312" w:cs="仿宋_GB2312"/>
          <w:color w:val="000000"/>
          <w:sz w:val="30"/>
          <w:szCs w:val="30"/>
          <w:lang w:val="en-US" w:eastAsia="zh-CN"/>
        </w:rPr>
        <w:t>壹</w:t>
      </w:r>
      <w:r>
        <w:rPr>
          <w:rFonts w:hint="eastAsia" w:ascii="仿宋_GB2312" w:hAnsi="仿宋_GB2312" w:eastAsia="仿宋_GB2312" w:cs="仿宋_GB2312"/>
          <w:color w:val="000000"/>
          <w:sz w:val="30"/>
          <w:szCs w:val="30"/>
        </w:rPr>
        <w:t>份。各份合同文本具有同等法律效力。</w:t>
      </w:r>
    </w:p>
    <w:p w14:paraId="579B5FCC">
      <w:pPr>
        <w:pStyle w:val="7"/>
        <w:keepNext w:val="0"/>
        <w:pageBreakBefore w:val="0"/>
        <w:widowControl/>
        <w:numPr>
          <w:ilvl w:val="1"/>
          <w:numId w:val="1"/>
        </w:numPr>
        <w:kinsoku/>
        <w:wordWrap/>
        <w:overflowPunct/>
        <w:topLinePunct w:val="0"/>
        <w:autoSpaceDE/>
        <w:autoSpaceDN/>
        <w:bidi w:val="0"/>
        <w:spacing w:before="0" w:beforeAutospacing="0" w:after="0" w:afterAutospacing="0" w:line="240" w:lineRule="auto"/>
        <w:textAlignment w:val="auto"/>
        <w:rPr>
          <w:rFonts w:hint="eastAsia" w:ascii="仿宋_GB2312" w:hAnsi="仿宋_GB2312" w:eastAsia="仿宋_GB2312" w:cs="仿宋_GB2312"/>
          <w:color w:val="000000"/>
          <w:sz w:val="30"/>
          <w:szCs w:val="30"/>
        </w:rPr>
      </w:pPr>
      <w:r>
        <w:rPr>
          <w:rFonts w:hint="eastAsia" w:ascii="仿宋_GB2312" w:hAnsi="仿宋_GB2312" w:eastAsia="仿宋_GB2312" w:cs="仿宋_GB2312"/>
          <w:color w:val="000000"/>
          <w:sz w:val="30"/>
          <w:szCs w:val="30"/>
        </w:rPr>
        <w:t>本合同经各方签名或盖章后生效。</w:t>
      </w:r>
    </w:p>
    <w:p w14:paraId="0278FE49">
      <w:pPr>
        <w:pStyle w:val="7"/>
        <w:keepNext w:val="0"/>
        <w:pageBreakBefore w:val="0"/>
        <w:widowControl/>
        <w:numPr>
          <w:ilvl w:val="1"/>
          <w:numId w:val="1"/>
        </w:numPr>
        <w:kinsoku/>
        <w:wordWrap/>
        <w:overflowPunct/>
        <w:topLinePunct w:val="0"/>
        <w:autoSpaceDE/>
        <w:autoSpaceDN/>
        <w:bidi w:val="0"/>
        <w:spacing w:before="0" w:beforeAutospacing="0" w:after="0" w:afterAutospacing="0" w:line="240" w:lineRule="auto"/>
        <w:textAlignment w:val="auto"/>
        <w:rPr>
          <w:rFonts w:hint="eastAsia" w:ascii="仿宋_GB2312" w:hAnsi="仿宋_GB2312" w:eastAsia="仿宋_GB2312" w:cs="仿宋_GB2312"/>
          <w:color w:val="000000"/>
          <w:sz w:val="30"/>
          <w:szCs w:val="30"/>
        </w:rPr>
      </w:pPr>
      <w:r>
        <w:rPr>
          <w:rFonts w:hint="eastAsia" w:ascii="仿宋_GB2312" w:hAnsi="仿宋_GB2312" w:eastAsia="仿宋_GB2312" w:cs="仿宋_GB2312"/>
          <w:color w:val="000000"/>
          <w:sz w:val="30"/>
          <w:szCs w:val="30"/>
          <w:lang w:val="en-US" w:eastAsia="zh-CN"/>
        </w:rPr>
        <w:t>支持到期后，如甲方决定正式使用乙方算力，双方应签订正式的算力服务合同。</w:t>
      </w:r>
    </w:p>
    <w:p w14:paraId="5B09D768">
      <w:pPr>
        <w:pStyle w:val="7"/>
        <w:keepNext w:val="0"/>
        <w:pageBreakBefore w:val="0"/>
        <w:widowControl/>
        <w:numPr>
          <w:ilvl w:val="1"/>
          <w:numId w:val="1"/>
        </w:numPr>
        <w:kinsoku/>
        <w:wordWrap/>
        <w:overflowPunct/>
        <w:topLinePunct w:val="0"/>
        <w:autoSpaceDE/>
        <w:autoSpaceDN/>
        <w:bidi w:val="0"/>
        <w:spacing w:before="0" w:beforeAutospacing="0" w:after="0" w:afterAutospacing="0" w:line="240" w:lineRule="auto"/>
        <w:textAlignment w:val="auto"/>
        <w:rPr>
          <w:rFonts w:hint="eastAsia" w:ascii="仿宋_GB2312" w:hAnsi="仿宋_GB2312" w:eastAsia="仿宋_GB2312" w:cs="仿宋_GB2312"/>
          <w:color w:val="000000"/>
          <w:sz w:val="30"/>
          <w:szCs w:val="30"/>
        </w:rPr>
      </w:pPr>
      <w:r>
        <w:rPr>
          <w:rFonts w:hint="eastAsia" w:ascii="仿宋_GB2312" w:hAnsi="仿宋_GB2312" w:eastAsia="仿宋_GB2312" w:cs="仿宋_GB2312"/>
          <w:color w:val="000000"/>
          <w:sz w:val="30"/>
          <w:szCs w:val="30"/>
        </w:rPr>
        <w:t>本合同履行过程中，对于往来通知应以书面形式（包括电子邮件、短信、传真等）送达对方。双方以下列地址作为接收通知的送达地址，通知到达下列任一地址即视为送达。如一方变更地址，应在变更当日书面通知对方，否则按本合同约定发出的通知及函件，一经发出即视为送达。双方发生争议引发诉讼或仲裁的，以下地址同时作为司法文书送达地址。</w:t>
      </w:r>
    </w:p>
    <w:p w14:paraId="39E7A562">
      <w:pPr>
        <w:pStyle w:val="7"/>
        <w:keepNext w:val="0"/>
        <w:pageBreakBefore w:val="0"/>
        <w:widowControl/>
        <w:kinsoku/>
        <w:wordWrap/>
        <w:overflowPunct/>
        <w:topLinePunct w:val="0"/>
        <w:autoSpaceDE/>
        <w:autoSpaceDN/>
        <w:bidi w:val="0"/>
        <w:spacing w:before="0" w:beforeAutospacing="0" w:after="0" w:afterAutospacing="0" w:line="240" w:lineRule="auto"/>
        <w:textAlignment w:val="auto"/>
        <w:rPr>
          <w:rFonts w:hint="eastAsia" w:ascii="仿宋_GB2312" w:hAnsi="仿宋_GB2312" w:eastAsia="仿宋_GB2312" w:cs="仿宋_GB2312"/>
          <w:color w:val="000000"/>
          <w:sz w:val="30"/>
          <w:szCs w:val="30"/>
        </w:rPr>
      </w:pPr>
      <w:r>
        <w:rPr>
          <w:rFonts w:hint="eastAsia" w:ascii="仿宋_GB2312" w:hAnsi="仿宋_GB2312" w:eastAsia="仿宋_GB2312" w:cs="仿宋_GB2312"/>
          <w:color w:val="000000"/>
          <w:sz w:val="30"/>
          <w:szCs w:val="30"/>
        </w:rPr>
        <w:t>签订时间：    年    月    日</w:t>
      </w:r>
    </w:p>
    <w:tbl>
      <w:tblPr>
        <w:tblStyle w:val="9"/>
        <w:tblpPr w:leftFromText="180" w:rightFromText="180" w:vertAnchor="text" w:horzAnchor="page" w:tblpX="1540" w:tblpY="1064"/>
        <w:tblOverlap w:val="never"/>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5"/>
        <w:gridCol w:w="4535"/>
      </w:tblGrid>
      <w:tr w14:paraId="19E3B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64" w:hRule="atLeast"/>
        </w:trPr>
        <w:tc>
          <w:tcPr>
            <w:tcW w:w="4535" w:type="dxa"/>
          </w:tcPr>
          <w:p w14:paraId="6D4C80F7">
            <w:pPr>
              <w:keepNext w:val="0"/>
              <w:pageBreakBefore w:val="0"/>
              <w:widowControl w:val="0"/>
              <w:kinsoku/>
              <w:wordWrap/>
              <w:overflowPunct/>
              <w:topLinePunct w:val="0"/>
              <w:autoSpaceDE/>
              <w:autoSpaceDN/>
              <w:bidi w:val="0"/>
              <w:spacing w:line="240" w:lineRule="auto"/>
              <w:jc w:val="both"/>
              <w:textAlignment w:val="auto"/>
              <w:rPr>
                <w:rFonts w:hint="default" w:ascii="仿宋_GB2312" w:hAnsi="仿宋_GB2312" w:eastAsia="仿宋_GB2312" w:cs="仿宋_GB2312"/>
                <w:b/>
                <w:bCs/>
                <w:sz w:val="30"/>
                <w:szCs w:val="30"/>
                <w:highlight w:val="none"/>
                <w:u w:val="single"/>
                <w:lang w:val="en-US"/>
              </w:rPr>
            </w:pPr>
            <w:bookmarkStart w:id="0" w:name="_GoBack"/>
            <w:r>
              <w:rPr>
                <w:rFonts w:hint="eastAsia" w:ascii="仿宋_GB2312" w:hAnsi="仿宋_GB2312" w:eastAsia="仿宋_GB2312" w:cs="仿宋_GB2312"/>
                <w:b/>
                <w:bCs/>
                <w:sz w:val="30"/>
                <w:szCs w:val="30"/>
                <w:highlight w:val="none"/>
              </w:rPr>
              <w:t>甲方（盖章）：</w:t>
            </w:r>
            <w:r>
              <w:rPr>
                <w:rFonts w:hint="eastAsia" w:ascii="仿宋_GB2312" w:hAnsi="仿宋_GB2312" w:eastAsia="仿宋_GB2312" w:cs="仿宋_GB2312"/>
                <w:b/>
                <w:bCs/>
                <w:sz w:val="30"/>
                <w:szCs w:val="30"/>
                <w:highlight w:val="none"/>
                <w:u w:val="single"/>
              </w:rPr>
              <w:t>天津市天河计算机技术有限公司</w:t>
            </w:r>
          </w:p>
          <w:bookmarkEnd w:id="0"/>
          <w:p w14:paraId="2AFC8369">
            <w:pPr>
              <w:keepNext w:val="0"/>
              <w:pageBreakBefore w:val="0"/>
              <w:widowControl w:val="0"/>
              <w:kinsoku/>
              <w:wordWrap/>
              <w:overflowPunct/>
              <w:topLinePunct w:val="0"/>
              <w:autoSpaceDE/>
              <w:autoSpaceDN/>
              <w:bidi w:val="0"/>
              <w:spacing w:line="240" w:lineRule="auto"/>
              <w:jc w:val="both"/>
              <w:textAlignment w:val="auto"/>
              <w:rPr>
                <w:rFonts w:hint="eastAsia" w:ascii="仿宋_GB2312" w:hAnsi="仿宋_GB2312" w:eastAsia="仿宋_GB2312" w:cs="仿宋_GB2312"/>
                <w:b/>
                <w:bCs/>
                <w:sz w:val="30"/>
                <w:szCs w:val="30"/>
              </w:rPr>
            </w:pPr>
          </w:p>
        </w:tc>
        <w:tc>
          <w:tcPr>
            <w:tcW w:w="4535" w:type="dxa"/>
          </w:tcPr>
          <w:p w14:paraId="344A1A67">
            <w:pPr>
              <w:keepNext w:val="0"/>
              <w:pageBreakBefore w:val="0"/>
              <w:widowControl w:val="0"/>
              <w:kinsoku/>
              <w:wordWrap/>
              <w:overflowPunct/>
              <w:topLinePunct w:val="0"/>
              <w:autoSpaceDE/>
              <w:autoSpaceDN/>
              <w:bidi w:val="0"/>
              <w:spacing w:line="240" w:lineRule="auto"/>
              <w:jc w:val="both"/>
              <w:textAlignment w:val="auto"/>
              <w:rPr>
                <w:rFonts w:hint="eastAsia" w:ascii="仿宋_GB2312" w:hAnsi="仿宋_GB2312" w:eastAsia="仿宋_GB2312" w:cs="仿宋_GB2312"/>
                <w:sz w:val="30"/>
                <w:szCs w:val="30"/>
                <w:u w:val="single"/>
              </w:rPr>
            </w:pPr>
            <w:r>
              <w:rPr>
                <w:rFonts w:hint="eastAsia" w:ascii="仿宋_GB2312" w:hAnsi="仿宋_GB2312" w:eastAsia="仿宋_GB2312" w:cs="仿宋_GB2312"/>
                <w:b/>
                <w:bCs/>
                <w:sz w:val="30"/>
                <w:szCs w:val="30"/>
              </w:rPr>
              <w:t>乙方（盖章）：</w:t>
            </w:r>
            <w:r>
              <w:rPr>
                <w:rFonts w:hint="eastAsia" w:ascii="仿宋_GB2312" w:hAnsi="仿宋_GB2312" w:eastAsia="仿宋_GB2312" w:cs="仿宋_GB2312"/>
                <w:sz w:val="30"/>
                <w:szCs w:val="30"/>
                <w:u w:val="single"/>
              </w:rPr>
              <w:t>天津智算数字产业发展有限公司</w:t>
            </w:r>
          </w:p>
        </w:tc>
      </w:tr>
      <w:tr w14:paraId="7E701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5" w:type="dxa"/>
          </w:tcPr>
          <w:p w14:paraId="4F1555D9">
            <w:pPr>
              <w:keepNext w:val="0"/>
              <w:pageBreakBefore w:val="0"/>
              <w:widowControl w:val="0"/>
              <w:kinsoku/>
              <w:wordWrap/>
              <w:overflowPunct/>
              <w:topLinePunct w:val="0"/>
              <w:autoSpaceDE/>
              <w:autoSpaceDN/>
              <w:bidi w:val="0"/>
              <w:spacing w:line="240" w:lineRule="auto"/>
              <w:jc w:val="both"/>
              <w:textAlignment w:val="auto"/>
              <w:rPr>
                <w:rFonts w:hint="eastAsia" w:ascii="仿宋_GB2312" w:hAnsi="仿宋_GB2312" w:eastAsia="仿宋_GB2312" w:cs="仿宋_GB2312"/>
                <w:b/>
                <w:bCs/>
                <w:sz w:val="30"/>
                <w:szCs w:val="30"/>
                <w:u w:val="single"/>
              </w:rPr>
            </w:pPr>
            <w:r>
              <w:rPr>
                <w:rFonts w:hint="eastAsia" w:ascii="仿宋_GB2312" w:hAnsi="仿宋_GB2312" w:eastAsia="仿宋_GB2312" w:cs="仿宋_GB2312"/>
                <w:b/>
                <w:bCs/>
                <w:sz w:val="30"/>
                <w:szCs w:val="30"/>
              </w:rPr>
              <w:t>法定代表人或委托代理人：</w:t>
            </w:r>
            <w:r>
              <w:rPr>
                <w:rFonts w:hint="eastAsia" w:ascii="仿宋_GB2312" w:hAnsi="仿宋_GB2312" w:eastAsia="仿宋_GB2312" w:cs="仿宋_GB2312"/>
                <w:b/>
                <w:bCs/>
                <w:sz w:val="30"/>
                <w:szCs w:val="30"/>
                <w:u w:val="single"/>
              </w:rPr>
              <w:t xml:space="preserve">          </w:t>
            </w:r>
          </w:p>
          <w:p w14:paraId="008B4A3D">
            <w:pPr>
              <w:keepNext w:val="0"/>
              <w:pageBreakBefore w:val="0"/>
              <w:widowControl w:val="0"/>
              <w:kinsoku/>
              <w:wordWrap/>
              <w:overflowPunct/>
              <w:topLinePunct w:val="0"/>
              <w:autoSpaceDE/>
              <w:autoSpaceDN/>
              <w:bidi w:val="0"/>
              <w:spacing w:line="240" w:lineRule="auto"/>
              <w:jc w:val="both"/>
              <w:textAlignment w:val="auto"/>
              <w:rPr>
                <w:rFonts w:hint="eastAsia" w:ascii="仿宋_GB2312" w:hAnsi="仿宋_GB2312" w:eastAsia="仿宋_GB2312" w:cs="仿宋_GB2312"/>
                <w:b/>
                <w:bCs/>
                <w:sz w:val="30"/>
                <w:szCs w:val="30"/>
                <w:u w:val="single"/>
              </w:rPr>
            </w:pPr>
          </w:p>
          <w:p w14:paraId="7AABC8EB">
            <w:pPr>
              <w:keepNext w:val="0"/>
              <w:pageBreakBefore w:val="0"/>
              <w:widowControl w:val="0"/>
              <w:kinsoku/>
              <w:wordWrap/>
              <w:overflowPunct/>
              <w:topLinePunct w:val="0"/>
              <w:autoSpaceDE/>
              <w:autoSpaceDN/>
              <w:bidi w:val="0"/>
              <w:spacing w:line="240" w:lineRule="auto"/>
              <w:jc w:val="both"/>
              <w:textAlignment w:val="auto"/>
              <w:rPr>
                <w:rFonts w:hint="eastAsia" w:ascii="仿宋_GB2312" w:hAnsi="仿宋_GB2312" w:eastAsia="仿宋_GB2312" w:cs="仿宋_GB2312"/>
                <w:b/>
                <w:bCs/>
                <w:sz w:val="30"/>
                <w:szCs w:val="30"/>
              </w:rPr>
            </w:pPr>
          </w:p>
        </w:tc>
        <w:tc>
          <w:tcPr>
            <w:tcW w:w="4535" w:type="dxa"/>
          </w:tcPr>
          <w:p w14:paraId="2B47D982">
            <w:pPr>
              <w:keepNext w:val="0"/>
              <w:pageBreakBefore w:val="0"/>
              <w:widowControl w:val="0"/>
              <w:kinsoku/>
              <w:wordWrap/>
              <w:overflowPunct/>
              <w:topLinePunct w:val="0"/>
              <w:autoSpaceDE/>
              <w:autoSpaceDN/>
              <w:bidi w:val="0"/>
              <w:spacing w:line="240" w:lineRule="auto"/>
              <w:jc w:val="both"/>
              <w:textAlignment w:val="auto"/>
              <w:rPr>
                <w:rFonts w:hint="eastAsia" w:ascii="仿宋_GB2312" w:hAnsi="仿宋_GB2312" w:eastAsia="仿宋_GB2312" w:cs="仿宋_GB2312"/>
                <w:b/>
                <w:bCs/>
                <w:sz w:val="30"/>
                <w:szCs w:val="30"/>
                <w:u w:val="single"/>
              </w:rPr>
            </w:pPr>
            <w:r>
              <w:rPr>
                <w:rFonts w:hint="eastAsia" w:ascii="仿宋_GB2312" w:hAnsi="仿宋_GB2312" w:eastAsia="仿宋_GB2312" w:cs="仿宋_GB2312"/>
                <w:b/>
                <w:bCs/>
                <w:sz w:val="30"/>
                <w:szCs w:val="30"/>
              </w:rPr>
              <w:t>法定代表人或委托代理人：</w:t>
            </w:r>
            <w:r>
              <w:rPr>
                <w:rFonts w:hint="eastAsia" w:ascii="仿宋_GB2312" w:hAnsi="仿宋_GB2312" w:eastAsia="仿宋_GB2312" w:cs="仿宋_GB2312"/>
                <w:b/>
                <w:bCs/>
                <w:sz w:val="30"/>
                <w:szCs w:val="30"/>
                <w:u w:val="single"/>
              </w:rPr>
              <w:t xml:space="preserve">          </w:t>
            </w:r>
          </w:p>
        </w:tc>
      </w:tr>
      <w:tr w14:paraId="47DFD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5" w:type="dxa"/>
          </w:tcPr>
          <w:p w14:paraId="2C72C93C">
            <w:pPr>
              <w:keepNext w:val="0"/>
              <w:pageBreakBefore w:val="0"/>
              <w:widowControl w:val="0"/>
              <w:kinsoku/>
              <w:wordWrap/>
              <w:overflowPunct/>
              <w:topLinePunct w:val="0"/>
              <w:autoSpaceDE/>
              <w:autoSpaceDN/>
              <w:bidi w:val="0"/>
              <w:spacing w:line="240" w:lineRule="auto"/>
              <w:jc w:val="both"/>
              <w:textAlignment w:val="auto"/>
              <w:rPr>
                <w:rFonts w:hint="eastAsia" w:ascii="仿宋_GB2312" w:hAnsi="仿宋_GB2312" w:eastAsia="仿宋_GB2312" w:cs="仿宋_GB2312"/>
                <w:sz w:val="30"/>
                <w:szCs w:val="30"/>
              </w:rPr>
            </w:pPr>
            <w:r>
              <w:rPr>
                <w:rFonts w:hint="eastAsia" w:ascii="仿宋_GB2312" w:hAnsi="仿宋_GB2312" w:eastAsia="仿宋_GB2312" w:cs="仿宋_GB2312"/>
                <w:b/>
                <w:bCs/>
                <w:sz w:val="30"/>
                <w:szCs w:val="30"/>
              </w:rPr>
              <w:t>签订日期：</w:t>
            </w:r>
            <w:r>
              <w:rPr>
                <w:rFonts w:hint="eastAsia" w:ascii="仿宋_GB2312" w:hAnsi="仿宋_GB2312" w:eastAsia="仿宋_GB2312" w:cs="仿宋_GB2312"/>
                <w:sz w:val="30"/>
                <w:szCs w:val="30"/>
                <w:u w:val="single"/>
              </w:rPr>
              <w:t xml:space="preserve">     </w:t>
            </w:r>
            <w:r>
              <w:rPr>
                <w:rFonts w:hint="eastAsia" w:ascii="仿宋_GB2312" w:hAnsi="仿宋_GB2312" w:eastAsia="仿宋_GB2312" w:cs="仿宋_GB2312"/>
                <w:b/>
                <w:bCs/>
                <w:sz w:val="30"/>
                <w:szCs w:val="30"/>
              </w:rPr>
              <w:t>年</w:t>
            </w:r>
            <w:r>
              <w:rPr>
                <w:rFonts w:hint="eastAsia" w:ascii="仿宋_GB2312" w:hAnsi="仿宋_GB2312" w:eastAsia="仿宋_GB2312" w:cs="仿宋_GB2312"/>
                <w:sz w:val="30"/>
                <w:szCs w:val="30"/>
                <w:u w:val="single"/>
              </w:rPr>
              <w:t xml:space="preserve">   </w:t>
            </w:r>
            <w:r>
              <w:rPr>
                <w:rFonts w:hint="eastAsia" w:ascii="仿宋_GB2312" w:hAnsi="仿宋_GB2312" w:eastAsia="仿宋_GB2312" w:cs="仿宋_GB2312"/>
                <w:b/>
                <w:bCs/>
                <w:sz w:val="30"/>
                <w:szCs w:val="30"/>
              </w:rPr>
              <w:t>月</w:t>
            </w:r>
            <w:r>
              <w:rPr>
                <w:rFonts w:hint="eastAsia" w:ascii="仿宋_GB2312" w:hAnsi="仿宋_GB2312" w:eastAsia="仿宋_GB2312" w:cs="仿宋_GB2312"/>
                <w:sz w:val="30"/>
                <w:szCs w:val="30"/>
                <w:u w:val="single"/>
              </w:rPr>
              <w:t xml:space="preserve">   </w:t>
            </w:r>
            <w:r>
              <w:rPr>
                <w:rFonts w:hint="eastAsia" w:ascii="仿宋_GB2312" w:hAnsi="仿宋_GB2312" w:eastAsia="仿宋_GB2312" w:cs="仿宋_GB2312"/>
                <w:b/>
                <w:bCs/>
                <w:sz w:val="30"/>
                <w:szCs w:val="30"/>
              </w:rPr>
              <w:t>日</w:t>
            </w:r>
          </w:p>
        </w:tc>
        <w:tc>
          <w:tcPr>
            <w:tcW w:w="4535" w:type="dxa"/>
          </w:tcPr>
          <w:p w14:paraId="4A9EC45C">
            <w:pPr>
              <w:keepNext w:val="0"/>
              <w:pageBreakBefore w:val="0"/>
              <w:widowControl w:val="0"/>
              <w:kinsoku/>
              <w:wordWrap/>
              <w:overflowPunct/>
              <w:topLinePunct w:val="0"/>
              <w:autoSpaceDE/>
              <w:autoSpaceDN/>
              <w:bidi w:val="0"/>
              <w:spacing w:line="240" w:lineRule="auto"/>
              <w:jc w:val="both"/>
              <w:textAlignment w:val="auto"/>
              <w:rPr>
                <w:rFonts w:hint="eastAsia" w:ascii="仿宋_GB2312" w:hAnsi="仿宋_GB2312" w:eastAsia="仿宋_GB2312" w:cs="仿宋_GB2312"/>
                <w:sz w:val="30"/>
                <w:szCs w:val="30"/>
              </w:rPr>
            </w:pPr>
            <w:r>
              <w:rPr>
                <w:rFonts w:hint="eastAsia" w:ascii="仿宋_GB2312" w:hAnsi="仿宋_GB2312" w:eastAsia="仿宋_GB2312" w:cs="仿宋_GB2312"/>
                <w:b/>
                <w:bCs/>
                <w:sz w:val="30"/>
                <w:szCs w:val="30"/>
              </w:rPr>
              <w:t>签订日期：</w:t>
            </w:r>
            <w:r>
              <w:rPr>
                <w:rFonts w:hint="eastAsia" w:ascii="仿宋_GB2312" w:hAnsi="仿宋_GB2312" w:eastAsia="仿宋_GB2312" w:cs="仿宋_GB2312"/>
                <w:sz w:val="30"/>
                <w:szCs w:val="30"/>
                <w:u w:val="single"/>
              </w:rPr>
              <w:t xml:space="preserve">     </w:t>
            </w:r>
            <w:r>
              <w:rPr>
                <w:rFonts w:hint="eastAsia" w:ascii="仿宋_GB2312" w:hAnsi="仿宋_GB2312" w:eastAsia="仿宋_GB2312" w:cs="仿宋_GB2312"/>
                <w:b/>
                <w:bCs/>
                <w:sz w:val="30"/>
                <w:szCs w:val="30"/>
              </w:rPr>
              <w:t>年</w:t>
            </w:r>
            <w:r>
              <w:rPr>
                <w:rFonts w:hint="eastAsia" w:ascii="仿宋_GB2312" w:hAnsi="仿宋_GB2312" w:eastAsia="仿宋_GB2312" w:cs="仿宋_GB2312"/>
                <w:sz w:val="30"/>
                <w:szCs w:val="30"/>
                <w:u w:val="single"/>
              </w:rPr>
              <w:t xml:space="preserve">   </w:t>
            </w:r>
            <w:r>
              <w:rPr>
                <w:rFonts w:hint="eastAsia" w:ascii="仿宋_GB2312" w:hAnsi="仿宋_GB2312" w:eastAsia="仿宋_GB2312" w:cs="仿宋_GB2312"/>
                <w:b/>
                <w:bCs/>
                <w:sz w:val="30"/>
                <w:szCs w:val="30"/>
              </w:rPr>
              <w:t>月</w:t>
            </w:r>
            <w:r>
              <w:rPr>
                <w:rFonts w:hint="eastAsia" w:ascii="仿宋_GB2312" w:hAnsi="仿宋_GB2312" w:eastAsia="仿宋_GB2312" w:cs="仿宋_GB2312"/>
                <w:sz w:val="30"/>
                <w:szCs w:val="30"/>
                <w:u w:val="single"/>
              </w:rPr>
              <w:t xml:space="preserve">   </w:t>
            </w:r>
            <w:r>
              <w:rPr>
                <w:rFonts w:hint="eastAsia" w:ascii="仿宋_GB2312" w:hAnsi="仿宋_GB2312" w:eastAsia="仿宋_GB2312" w:cs="仿宋_GB2312"/>
                <w:b/>
                <w:bCs/>
                <w:sz w:val="30"/>
                <w:szCs w:val="30"/>
              </w:rPr>
              <w:t>日</w:t>
            </w:r>
          </w:p>
        </w:tc>
      </w:tr>
    </w:tbl>
    <w:p w14:paraId="17EBFE81">
      <w:pPr>
        <w:pStyle w:val="7"/>
        <w:keepNext w:val="0"/>
        <w:pageBreakBefore w:val="0"/>
        <w:widowControl/>
        <w:kinsoku/>
        <w:wordWrap/>
        <w:overflowPunct/>
        <w:topLinePunct w:val="0"/>
        <w:autoSpaceDE/>
        <w:autoSpaceDN/>
        <w:bidi w:val="0"/>
        <w:spacing w:before="0" w:beforeAutospacing="0" w:after="0" w:afterAutospacing="0" w:line="240" w:lineRule="auto"/>
        <w:textAlignment w:val="auto"/>
        <w:rPr>
          <w:rFonts w:hint="eastAsia" w:ascii="仿宋_GB2312" w:hAnsi="仿宋_GB2312" w:eastAsia="仿宋_GB2312" w:cs="仿宋_GB2312"/>
          <w:color w:val="000000"/>
          <w:sz w:val="30"/>
          <w:szCs w:val="30"/>
          <w:lang w:val="en-US" w:eastAsia="zh-CN"/>
        </w:rPr>
      </w:pPr>
    </w:p>
    <w:p w14:paraId="66F3692B">
      <w:pPr>
        <w:pStyle w:val="7"/>
        <w:keepNext w:val="0"/>
        <w:pageBreakBefore w:val="0"/>
        <w:widowControl/>
        <w:kinsoku/>
        <w:wordWrap/>
        <w:overflowPunct/>
        <w:topLinePunct w:val="0"/>
        <w:autoSpaceDE/>
        <w:autoSpaceDN/>
        <w:bidi w:val="0"/>
        <w:spacing w:before="0" w:beforeAutospacing="0" w:after="0" w:afterAutospacing="0" w:line="240" w:lineRule="auto"/>
        <w:textAlignment w:val="auto"/>
        <w:rPr>
          <w:rFonts w:hint="eastAsia" w:ascii="仿宋_GB2312" w:hAnsi="仿宋_GB2312" w:eastAsia="仿宋_GB2312" w:cs="仿宋_GB2312"/>
          <w:color w:val="000000"/>
          <w:sz w:val="30"/>
          <w:szCs w:val="30"/>
          <w:lang w:val="en-US" w:eastAsia="zh-CN"/>
        </w:rPr>
      </w:pPr>
    </w:p>
    <w:p w14:paraId="05745511">
      <w:pPr>
        <w:pStyle w:val="7"/>
        <w:keepNext w:val="0"/>
        <w:pageBreakBefore w:val="0"/>
        <w:widowControl/>
        <w:kinsoku/>
        <w:wordWrap/>
        <w:overflowPunct/>
        <w:topLinePunct w:val="0"/>
        <w:autoSpaceDE/>
        <w:autoSpaceDN/>
        <w:bidi w:val="0"/>
        <w:spacing w:before="0" w:beforeAutospacing="0" w:after="0" w:afterAutospacing="0" w:line="240" w:lineRule="auto"/>
        <w:textAlignment w:val="auto"/>
        <w:rPr>
          <w:rFonts w:hint="eastAsia" w:ascii="仿宋_GB2312" w:hAnsi="仿宋_GB2312" w:eastAsia="仿宋_GB2312" w:cs="仿宋_GB2312"/>
          <w:color w:val="000000"/>
          <w:sz w:val="30"/>
          <w:szCs w:val="30"/>
        </w:rPr>
      </w:pPr>
    </w:p>
    <w:sectPr>
      <w:footerReference r:id="rId3" w:type="default"/>
      <w:pgSz w:w="11895" w:h="16845"/>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mfang">
    <w:altName w:val="FFont-Family"/>
    <w:panose1 w:val="00000000000000000000"/>
    <w:charset w:val="00"/>
    <w:family w:val="auto"/>
    <w:pitch w:val="default"/>
    <w:sig w:usb0="00000000" w:usb1="00000000" w:usb2="00000000" w:usb3="00000000" w:csb0="00000000" w:csb1="00000000"/>
  </w:font>
  <w:font w:name="苹方-简">
    <w:altName w:val="宋体"/>
    <w:panose1 w:val="020B0400000000000000"/>
    <w:charset w:val="86"/>
    <w:family w:val="auto"/>
    <w:pitch w:val="default"/>
    <w:sig w:usb0="00000000" w:usb1="00000000" w:usb2="00000017" w:usb3="00000000" w:csb0="00040001" w:csb1="00000000"/>
  </w:font>
  <w:font w:name="Msyh">
    <w:altName w:val="FFont-Family"/>
    <w:panose1 w:val="00000000000000000000"/>
    <w:charset w:val="00"/>
    <w:family w:val="auto"/>
    <w:pitch w:val="default"/>
    <w:sig w:usb0="00000000" w:usb1="00000000" w:usb2="00000000" w:usb3="00000000" w:csb0="00000000" w:csb1="00000000"/>
  </w:font>
  <w:font w:name="pingfang sc">
    <w:altName w:val="宋体"/>
    <w:panose1 w:val="020B0400000000000000"/>
    <w:charset w:val="86"/>
    <w:family w:val="auto"/>
    <w:pitch w:val="default"/>
    <w:sig w:usb0="00000000" w:usb1="00000000" w:usb2="00000017" w:usb3="00000000" w:csb0="00040001" w:csb1="00000000"/>
  </w:font>
  <w:font w:name="方正小标宋简体">
    <w:panose1 w:val="02000000000000000000"/>
    <w:charset w:val="86"/>
    <w:family w:val="auto"/>
    <w:pitch w:val="default"/>
    <w:sig w:usb0="00000001" w:usb1="08000000" w:usb2="00000000" w:usb3="00000000" w:csb0="00040000" w:csb1="00000000"/>
    <w:embedRegular r:id="rId1" w:fontKey="{E4B957B2-C5AF-41B0-A393-C820DEDDE8FD}"/>
  </w:font>
  <w:font w:name="仿宋_GB2312">
    <w:altName w:val="仿宋"/>
    <w:panose1 w:val="02010609030101010101"/>
    <w:charset w:val="86"/>
    <w:family w:val="auto"/>
    <w:pitch w:val="default"/>
    <w:sig w:usb0="00000000" w:usb1="00000000" w:usb2="00000000" w:usb3="00000000" w:csb0="00040000" w:csb1="00000000"/>
    <w:embedRegular r:id="rId2" w:fontKey="{4E6EE559-137C-4E0C-B5E6-112BF4B7F2EE}"/>
  </w:font>
  <w:font w:name="方正仿宋_GBK">
    <w:altName w:val="微软雅黑"/>
    <w:panose1 w:val="02000000000000000000"/>
    <w:charset w:val="86"/>
    <w:family w:val="auto"/>
    <w:pitch w:val="default"/>
    <w:sig w:usb0="00000000" w:usb1="00000000" w:usb2="00082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95109">
    <w:pPr>
      <w:jc w:val="cente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B18904">
                          <w:pPr>
                            <w:pStyle w:val="5"/>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29B18904">
                    <w:pPr>
                      <w:pStyle w:val="5"/>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922156"/>
    <w:multiLevelType w:val="multilevel"/>
    <w:tmpl w:val="DD922156"/>
    <w:lvl w:ilvl="0" w:tentative="0">
      <w:start w:val="1"/>
      <w:numFmt w:val="decimalHalfWidth"/>
      <w:lvlText w:val="%1."/>
      <w:lvlJc w:val="left"/>
      <w:pPr>
        <w:ind w:left="0"/>
      </w:pPr>
    </w:lvl>
    <w:lvl w:ilvl="1" w:tentative="0">
      <w:start w:val="1"/>
      <w:numFmt w:val="decimalHalfWidth"/>
      <w:lvlText w:val="%1.%2."/>
      <w:lvlJc w:val="left"/>
      <w:pPr>
        <w:ind w:left="0"/>
      </w:pPr>
    </w:lvl>
    <w:lvl w:ilvl="2" w:tentative="0">
      <w:start w:val="1"/>
      <w:numFmt w:val="decimalHalfWidth"/>
      <w:lvlText w:val="%1.%2.%3."/>
      <w:lvlJc w:val="left"/>
      <w:pPr>
        <w:ind w:left="0"/>
      </w:pPr>
    </w:lvl>
    <w:lvl w:ilvl="3" w:tentative="0">
      <w:start w:val="1"/>
      <w:numFmt w:val="decimalHalfWidth"/>
      <w:lvlText w:val="%1.%2.%3.%4."/>
      <w:lvlJc w:val="left"/>
      <w:pPr>
        <w:ind w:left="0"/>
      </w:pPr>
    </w:lvl>
    <w:lvl w:ilvl="4" w:tentative="0">
      <w:start w:val="1"/>
      <w:numFmt w:val="decimalHalfWidth"/>
      <w:lvlText w:val="%1.%2.%3.%4.%5."/>
      <w:lvlJc w:val="left"/>
      <w:pPr>
        <w:ind w:left="0"/>
      </w:pPr>
    </w:lvl>
    <w:lvl w:ilvl="5" w:tentative="0">
      <w:start w:val="1"/>
      <w:numFmt w:val="decimalHalfWidth"/>
      <w:lvlText w:val="%1.%2.%3.%4.%5.%6."/>
      <w:lvlJc w:val="left"/>
      <w:pPr>
        <w:ind w:left="0"/>
      </w:pPr>
    </w:lvl>
    <w:lvl w:ilvl="6" w:tentative="0">
      <w:start w:val="1"/>
      <w:numFmt w:val="decimalHalfWidth"/>
      <w:lvlText w:val="%1.%2.%3.%4.%5.%6.%7."/>
      <w:lvlJc w:val="left"/>
      <w:pPr>
        <w:ind w:left="0"/>
      </w:pPr>
    </w:lvl>
    <w:lvl w:ilvl="7" w:tentative="0">
      <w:start w:val="1"/>
      <w:numFmt w:val="decimalHalfWidth"/>
      <w:lvlText w:val="%1.%2.%3.%4.%5.%6.%7.%8."/>
      <w:lvlJc w:val="left"/>
      <w:pPr>
        <w:ind w:left="0"/>
      </w:pPr>
    </w:lvl>
    <w:lvl w:ilvl="8" w:tentative="0">
      <w:start w:val="1"/>
      <w:numFmt w:val="decimalHalfWidth"/>
      <w:lvlText w:val="%1.%2.%3.%4.%5.%6.%7.%8.%9."/>
      <w:lvlJc w:val="left"/>
      <w:pPr>
        <w:ind w:left="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0"/>
  <w:bordersDoNotSurroundFooter w:val="0"/>
  <w:documentProtection w:enforcement="0"/>
  <w:defaultTabStop w:val="0"/>
  <w:displayHorizontalDrawingGridEvery w:val="1"/>
  <w:displayVerticalDrawingGridEvery w:val="1"/>
  <w:noPunctuationKerning w:val="1"/>
  <w:compat>
    <w:doNotExpandShiftReturn/>
    <w:doNotWrapTextWithPunct/>
    <w:doNotUseEastAsianBreakRules/>
    <w:useFELayout/>
    <w:doNotUseIndentAsNumberingTabStop/>
    <w:compatSetting w:name="compatibilityMode" w:uri="http://schemas.microsoft.com/office/word" w:val="15"/>
  </w:compat>
  <w:rsids>
    <w:rsidRoot w:val="00000000"/>
    <w:rsid w:val="3F6587CB"/>
    <w:rsid w:val="52746612"/>
    <w:rsid w:val="5C8E7B4A"/>
    <w:rsid w:val="5CD36768"/>
    <w:rsid w:val="5DAFD0DF"/>
    <w:rsid w:val="5F6FCAF6"/>
    <w:rsid w:val="5FC55B72"/>
    <w:rsid w:val="749E1EA2"/>
    <w:rsid w:val="787F943A"/>
    <w:rsid w:val="9FBB74CE"/>
    <w:rsid w:val="BAEF69DB"/>
    <w:rsid w:val="BFEB68E5"/>
    <w:rsid w:val="DE1F8915"/>
    <w:rsid w:val="F79F11E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rPr>
  </w:style>
  <w:style w:type="paragraph" w:styleId="2">
    <w:name w:val="heading 1"/>
    <w:basedOn w:val="1"/>
    <w:next w:val="1"/>
    <w:qFormat/>
    <w:uiPriority w:val="9"/>
    <w:pPr>
      <w:keepLines/>
      <w:spacing w:before="280" w:beforeAutospacing="0" w:after="280" w:afterAutospacing="0"/>
      <w:jc w:val="center"/>
      <w:outlineLvl w:val="9"/>
    </w:pPr>
    <w:rPr>
      <w:b/>
      <w:color w:val="000000"/>
      <w:sz w:val="36"/>
    </w:rPr>
  </w:style>
  <w:style w:type="paragraph" w:styleId="3">
    <w:name w:val="heading 3"/>
    <w:basedOn w:val="1"/>
    <w:next w:val="1"/>
    <w:qFormat/>
    <w:uiPriority w:val="9"/>
    <w:pPr>
      <w:keepLines/>
      <w:spacing w:before="280" w:beforeAutospacing="0" w:after="280" w:afterAutospacing="0"/>
      <w:outlineLvl w:val="1"/>
    </w:pPr>
    <w:rPr>
      <w:b/>
      <w:color w:val="000000"/>
      <w:sz w:val="28"/>
    </w:rPr>
  </w:style>
  <w:style w:type="character" w:default="1" w:styleId="10">
    <w:name w:val="Default Paragraph Font"/>
    <w:semiHidden/>
    <w:qFormat/>
    <w:uiPriority w:val="0"/>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99"/>
    <w:pPr>
      <w:spacing w:before="100" w:beforeAutospacing="1" w:after="100" w:afterAutospacing="1"/>
    </w:pPr>
    <w:rPr>
      <w:sz w:val="24"/>
    </w:rPr>
  </w:style>
  <w:style w:type="table" w:styleId="9">
    <w:name w:val="Table Grid"/>
    <w:basedOn w:val="8"/>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
    <w:name w:val="Table Normal"/>
    <w:qFormat/>
    <w:uiPriority w:val="59"/>
    <w:tblPr>
      <w:tblCellMar>
        <w:top w:w="0" w:type="dxa"/>
        <w:left w:w="108" w:type="dxa"/>
        <w:bottom w:w="0" w:type="dxa"/>
        <w:right w:w="108" w:type="dxa"/>
      </w:tblCellMar>
    </w:tblPr>
  </w:style>
  <w:style w:type="paragraph" w:customStyle="1" w:styleId="12">
    <w:name w:val="font-fangsong *"/>
    <w:basedOn w:val="1"/>
    <w:qFormat/>
    <w:uiPriority w:val="0"/>
    <w:pPr>
      <w:spacing w:before="100" w:beforeAutospacing="1" w:after="100" w:afterAutospacing="1"/>
    </w:pPr>
    <w:rPr>
      <w:rFonts w:ascii="Simfang" w:hAnsi="Simfang" w:cs="Simfang"/>
      <w:sz w:val="24"/>
    </w:rPr>
  </w:style>
  <w:style w:type="paragraph" w:customStyle="1" w:styleId="13">
    <w:name w:val="font-song *"/>
    <w:basedOn w:val="1"/>
    <w:qFormat/>
    <w:uiPriority w:val="0"/>
    <w:pPr>
      <w:spacing w:before="100" w:beforeAutospacing="1" w:after="100" w:afterAutospacing="1"/>
    </w:pPr>
    <w:rPr>
      <w:rFonts w:ascii="宋体" w:hAnsi="宋体" w:cs="宋体"/>
      <w:sz w:val="24"/>
    </w:rPr>
  </w:style>
  <w:style w:type="paragraph" w:customStyle="1" w:styleId="14">
    <w:name w:val="font-yahei *"/>
    <w:basedOn w:val="1"/>
    <w:qFormat/>
    <w:uiPriority w:val="0"/>
    <w:pPr>
      <w:spacing w:before="100" w:beforeAutospacing="1" w:after="100" w:afterAutospacing="1"/>
    </w:pPr>
    <w:rPr>
      <w:rFonts w:ascii="Msyh" w:hAnsi="Msyh" w:cs="Msyh"/>
      <w:sz w:val="24"/>
    </w:rPr>
  </w:style>
  <w:style w:type="character" w:customStyle="1" w:styleId="15">
    <w:name w:val="s1"/>
    <w:basedOn w:val="10"/>
    <w:qFormat/>
    <w:uiPriority w:val="0"/>
  </w:style>
  <w:style w:type="paragraph" w:customStyle="1" w:styleId="16">
    <w:name w:val="p1"/>
    <w:basedOn w:val="1"/>
    <w:qFormat/>
    <w:uiPriority w:val="0"/>
    <w:pPr>
      <w:spacing w:before="0" w:beforeAutospacing="0" w:after="0" w:afterAutospacing="0"/>
      <w:ind w:left="0" w:right="0"/>
      <w:jc w:val="left"/>
    </w:pPr>
    <w:rPr>
      <w:rFonts w:ascii="pingfang sc" w:hAnsi="pingfang sc" w:eastAsia="pingfang sc" w:cs="pingfang sc"/>
      <w:color w:val="0D0E11"/>
      <w:kern w:val="0"/>
      <w:sz w:val="32"/>
      <w:szCs w:val="32"/>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Min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ine">
      <a:majorFont>
        <a:latin typeface="宋体"/>
        <a:ea typeface="宋体"/>
        <a:cs typeface="宋体"/>
      </a:majorFont>
      <a:minorFont>
        <a:latin typeface="宋体"/>
        <a:ea typeface="宋体"/>
        <a:cs typeface="宋体"/>
      </a:minorFont>
    </a:fontScheme>
    <a:fmtScheme name="Mine">
      <a:fillStyleLst>
        <a:solidFill>
          <a:schemeClr val="phClr"/>
        </a:solidFill>
        <a:solidFill>
          <a:schemeClr val="phClr"/>
        </a:solidFill>
        <a:solidFill>
          <a:schemeClr val="phClr"/>
        </a:solidFill>
      </a:fillStyleLst>
      <a:lnStyleLst>
        <a:ln>
          <a:solidFill>
            <a:schemeClr val="phClr"/>
          </a:solidFill>
        </a:ln>
        <a:ln>
          <a:solidFill>
            <a:schemeClr val="phClr"/>
          </a:solidFill>
        </a:ln>
        <a:ln>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Words>1711</Words>
  <Characters>1785</Characters>
  <TotalTime>15</TotalTime>
  <ScaleCrop>false</ScaleCrop>
  <LinksUpToDate>false</LinksUpToDate>
  <CharactersWithSpaces>1846</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2025-11-14T04:09:00Z</dcterms:created>
  <dc:creator>法天使</dc:creator>
  <cp:lastModifiedBy>罗圣博</cp:lastModifiedBy>
  <cp:lastPrinted>2025-11-17T19:05:00Z</cp:lastPrinted>
  <dcterms:modified xsi:type="dcterms:W3CDTF">2026-05-27T03:09:10Z</dcterms:modified>
  <dc:title>算力服务合同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D7432BA54C534A799AC80F653D529DA6_13</vt:lpwstr>
  </property>
  <property fmtid="{D5CDD505-2E9C-101B-9397-08002B2CF9AE}" pid="4" name="KSOTemplateDocerSaveRecord">
    <vt:lpwstr>eyJoZGlkIjoiZTJmZmYzMThkNmEyOTQ0MWYxNTQ4OTlkMTg0MDg2MGUiLCJ1c2VySWQiOiIyOTQ4NzMyMzQifQ==</vt:lpwstr>
  </property>
</Properties>
</file>