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Tempo, tecnologia e trabalho</w:t>
      </w:r>
    </w:p>
    <w:p>
      <w:pPr>
        <w:pStyle w:val="Subtitle"/>
      </w:pPr>
      <w:r>
        <w:t>Redes técnicas, produtividade e disputa pelo tempo na escala 6×1</w:t>
      </w:r>
    </w:p>
    <w:tbl>
      <w:tblPr>
        <w:tblStyle w:val="TableGrid"/>
        <w:tblW w:type="dxa" w:w="927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090"/>
        <w:gridCol w:w="3090"/>
        <w:gridCol w:w="3090"/>
      </w:tblGrid>
      <w:tr>
        <w:tc>
          <w:tcPr>
            <w:tcW w:type="dxa" w:w="3090"/>
            <w:vAlign w:val="center"/>
            <w:shd w:fill="EA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Área</w:t>
              <w:br/>
            </w:r>
            <w:r>
              <w:rPr>
                <w:rFonts w:ascii="Calibri" w:hAnsi="Calibri"/>
                <w:color w:val="1F2933"/>
                <w:sz w:val="18"/>
              </w:rPr>
              <w:t>Geografia</w:t>
            </w:r>
          </w:p>
        </w:tc>
        <w:tc>
          <w:tcPr>
            <w:tcW w:type="dxa" w:w="3090"/>
            <w:vAlign w:val="center"/>
            <w:shd w:fill="EA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Autoria</w:t>
              <w:br/>
            </w:r>
            <w:r>
              <w:rPr>
                <w:rFonts w:ascii="Calibri" w:hAnsi="Calibri"/>
                <w:color w:val="1F2933"/>
                <w:sz w:val="18"/>
              </w:rPr>
              <w:t>Walker / equipe de Geografia</w:t>
            </w:r>
          </w:p>
        </w:tc>
        <w:tc>
          <w:tcPr>
            <w:tcW w:type="dxa" w:w="3090"/>
            <w:vAlign w:val="center"/>
            <w:shd w:fill="EA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Versão</w:t>
              <w:br/>
            </w:r>
            <w:r>
              <w:rPr>
                <w:rFonts w:ascii="Calibri" w:hAnsi="Calibri"/>
                <w:color w:val="1F2933"/>
                <w:sz w:val="18"/>
              </w:rPr>
              <w:t>v0.1</w:t>
            </w:r>
          </w:p>
        </w:tc>
      </w:tr>
      <w:tr>
        <w:tc>
          <w:tcPr>
            <w:tcW w:type="dxa" w:w="3090"/>
            <w:vAlign w:val="center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Público</w:t>
              <w:br/>
            </w:r>
            <w:r>
              <w:rPr>
                <w:rFonts w:ascii="Calibri" w:hAnsi="Calibri"/>
                <w:color w:val="1F2933"/>
                <w:sz w:val="18"/>
              </w:rPr>
              <w:t>Ensino médio / ENEM</w:t>
            </w:r>
          </w:p>
        </w:tc>
        <w:tc>
          <w:tcPr>
            <w:tcW w:type="dxa" w:w="3090"/>
            <w:vAlign w:val="center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Tipo</w:t>
              <w:br/>
            </w:r>
            <w:r>
              <w:rPr>
                <w:rFonts w:ascii="Calibri" w:hAnsi="Calibri"/>
                <w:color w:val="1F2933"/>
                <w:sz w:val="18"/>
              </w:rPr>
              <w:t>Material complementar</w:t>
            </w:r>
          </w:p>
        </w:tc>
        <w:tc>
          <w:tcPr>
            <w:tcW w:type="dxa" w:w="3090"/>
            <w:vAlign w:val="center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4C5C"/>
                <w:sz w:val="16"/>
              </w:rPr>
              <w:t>Status</w:t>
              <w:br/>
            </w:r>
            <w:r>
              <w:rPr>
                <w:rFonts w:ascii="Calibri" w:hAnsi="Calibri"/>
                <w:color w:val="1F2933"/>
                <w:sz w:val="18"/>
              </w:rPr>
              <w:t>Protótipo para discussão</w:t>
            </w:r>
          </w:p>
        </w:tc>
      </w:tr>
    </w:tbl>
    <w:p/>
    <w:p>
      <w:pPr>
        <w:pStyle w:val="Questãocentral"/>
      </w:pPr>
      <w:r>
        <w:rPr>
          <w:b/>
        </w:rPr>
        <w:t xml:space="preserve">QUESTÃO CENTRAL: </w:t>
      </w:r>
      <w:r>
        <w:t>Se as tecnologias permitem produzir mais em menos tempo, por que esse aumento de produtividade não se transforma automaticamente em redução da jornada e ampliação do tempo livre?</w:t>
      </w:r>
    </w:p>
    <w:p>
      <w:pPr>
        <w:pStyle w:val="Heading1"/>
      </w:pPr>
      <w:r>
        <w:t>Objetivos de aprendizagem</w:t>
      </w:r>
    </w:p>
    <w:p>
      <w:pPr>
        <w:spacing w:after="50"/>
        <w:numPr>
          <w:ilvl w:val="0"/>
          <w:numId w:val="10"/>
        </w:numPr>
      </w:pPr>
      <w:r>
        <w:t>interpretar uma paisagem urbana como expressão de desigualdades sociais e econômicas;</w:t>
      </w:r>
    </w:p>
    <w:p>
      <w:pPr>
        <w:spacing w:after="50"/>
        <w:numPr>
          <w:ilvl w:val="0"/>
          <w:numId w:val="10"/>
        </w:numPr>
      </w:pPr>
      <w:r>
        <w:t>compreender, de maneira introdutória, o Meio Técnico-Científico-Informacional;</w:t>
      </w:r>
    </w:p>
    <w:p>
      <w:pPr>
        <w:spacing w:after="50"/>
        <w:numPr>
          <w:ilvl w:val="0"/>
          <w:numId w:val="10"/>
        </w:numPr>
      </w:pPr>
      <w:r>
        <w:t>reconhecer a distribuição desigual do comando, dos ganhos e dos riscos nas redes produtivas;</w:t>
      </w:r>
    </w:p>
    <w:p>
      <w:pPr>
        <w:spacing w:after="50"/>
        <w:numPr>
          <w:ilvl w:val="0"/>
          <w:numId w:val="10"/>
        </w:numPr>
      </w:pPr>
      <w:r>
        <w:t>explicar por que a redução da jornada não decorre automaticamente do desenvolvimento tecnológico.</w:t>
      </w:r>
    </w:p>
    <w:p>
      <w:pPr>
        <w:pStyle w:val="Heading1"/>
      </w:pPr>
      <w:r>
        <w:t>1. Da paisagem à rede geográfica</w:t>
      </w:r>
    </w:p>
    <w:p>
      <w:pPr>
        <w:pStyle w:val="Exemploconcreto"/>
      </w:pPr>
      <w:r>
        <w:rPr>
          <w:b/>
        </w:rPr>
        <w:t xml:space="preserve">SITUAÇÃO INICIAL - AVENIDA PAULISTA: </w:t>
      </w:r>
      <w:r>
        <w:t>Imagine um trabalhador sob chuva, cercado por sedes empresariais, bancos, redes de comunicação e intensa circulação de mercadorias. Ele afirma que trabalha muito, mas não consegue transformar seu esforço em segurança ou expectativa estável de futuro. O contraste não é apenas social: ele aparece materializado na própria paisagem urbana.</w:t>
      </w:r>
    </w:p>
    <w:p>
      <w:pPr/>
      <w:r>
        <w:t>A paisagem reúne, no mesmo lugar, posições muito diferentes dentro da economia. A proximidade espacial entre riqueza e precariedade não significa que todos tenham o mesmo poder sobre as redes que atravessam a cidade. Para compreender essa desigualdade, precisamos olhar além dos aparelhos e observar o conjunto de infraestruturas, empresas, informações e trabalhadores que permite à atividade econômica funcionar.</w:t>
      </w:r>
    </w:p>
    <w:p>
      <w:pPr>
        <w:pStyle w:val="Conceito-chave"/>
      </w:pPr>
      <w:r>
        <w:rPr>
          <w:b/>
        </w:rPr>
        <w:t xml:space="preserve">CONCEITO-CHAVE - MEIO TÉCNICO-CIENTÍFICO-INFORMACIONAL: </w:t>
      </w:r>
      <w:r>
        <w:t>forma de organização do espaço geográfico marcada pela integração entre técnica, ciência, informação, infraestruturas, empresas e ações humanas. Um aplicativo, por exemplo, só funciona porque está conectado a redes de comunicação, pagamentos, GPS, vias urbanas, estabelecimentos e trabalhadores.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2000" cy="2114326"/>
            <wp:docPr id="1" name="Picture 1" title="Rede simplificada do trabalho por plataforma" descr="Diagrama conectando consumidor, plataforma, estabelecimento e trabalhador, sobre uma base de infraestruturas urbanas e digita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e-platafor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114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defigura"/>
        <w:jc w:val="center"/>
      </w:pPr>
      <w:r>
        <w:t>Figura 1 - Rede simplificada do trabalho organizado por plataforma</w:t>
      </w:r>
    </w:p>
    <w:p>
      <w:pPr>
        <w:pStyle w:val="Fontedefigura"/>
        <w:jc w:val="center"/>
      </w:pPr>
      <w:r>
        <w:t>Fonte: elaboração didática para este protótipo.</w:t>
      </w:r>
    </w:p>
    <w:p>
      <w:pPr>
        <w:pStyle w:val="Frase-chave"/>
      </w:pPr>
      <w:r>
        <w:rPr>
          <w:b/>
        </w:rPr>
        <w:t xml:space="preserve">FRASE-CHAVE: </w:t>
      </w:r>
      <w:r>
        <w:t>A rede funciona digitalmente, mas depende de corpos trabalhando em lugares concretos.</w:t>
      </w:r>
    </w:p>
    <w:p>
      <w:pPr>
        <w:pStyle w:val="Atividade"/>
      </w:pPr>
      <w:r>
        <w:rPr>
          <w:b/>
        </w:rPr>
        <w:t xml:space="preserve">LEITURA DO ESQUEMA: </w:t>
      </w:r>
      <w:r>
        <w:t>Quais elementos materiais são indispensáveis para que essa rede aparentemente “digital” funcione? Quem pode definir preços e critérios? Quem permanece mais exposto aos riscos do trânsito e da espera?</w:t>
      </w:r>
    </w:p>
    <w:p>
      <w:pPr>
        <w:pStyle w:val="Heading1"/>
      </w:pPr>
      <w:r>
        <w:t>2. Tecnologia também reorganiza o tempo</w:t>
      </w:r>
    </w:p>
    <w:p>
      <w:pPr/>
      <w:r>
        <w:t>As inovações técnicas ampliam possibilidades, mas não determinam previamente como elas serão utilizadas. A iluminação artificial permitiu que fábricas, lojas e serviços prolongassem suas atividades para além do tempo natural do dia. Em vez de reduzir automaticamente a jornada, uma tecnologia pode ampliar o período disponível para produzir.</w:t>
      </w:r>
    </w:p>
    <w:p>
      <w:pPr>
        <w:pStyle w:val="Conceito-chave"/>
      </w:pPr>
      <w:r>
        <w:rPr>
          <w:b/>
        </w:rPr>
        <w:t xml:space="preserve">PRODUTIVIDADE: </w:t>
      </w:r>
      <w:r>
        <w:t>relação entre os resultados obtidos e os recursos ou o tempo empregados. Um aumento de produtividade permite produzir mais no mesmo intervalo, mas não define quem receberá os ganhos nem quanto tempo será destinado ao descanso.</w:t>
      </w:r>
    </w:p>
    <w:p>
      <w:pPr>
        <w:pStyle w:val="Heading2"/>
      </w:pPr>
      <w:r>
        <w:t>Questão de fixação</w:t>
      </w:r>
    </w:p>
    <w:p>
      <w:pPr>
        <w:pStyle w:val="Questão"/>
      </w:pPr>
      <w:r>
        <w:rPr>
          <w:b/>
        </w:rPr>
        <w:t xml:space="preserve">QUESTÃO AUTORAL: </w:t>
      </w:r>
      <w:r>
        <w:t>A difusão da iluminação artificial ampliou o funcionamento noturno de fábricas e estabelecimentos. Do ponto de vista das relações entre técnica e trabalho, esse processo demonstra que:</w:t>
      </w:r>
    </w:p>
    <w:p>
      <w:pPr>
        <w:pStyle w:val="Alternativa"/>
        <w:numPr>
          <w:ilvl w:val="0"/>
          <w:numId w:val="12"/>
        </w:numPr>
      </w:pPr>
      <w:r>
        <w:t>a inovação tecnológica elimina conflitos em torno da duração da jornada.</w:t>
      </w:r>
    </w:p>
    <w:p>
      <w:pPr>
        <w:pStyle w:val="Alternativa"/>
        <w:numPr>
          <w:ilvl w:val="0"/>
          <w:numId w:val="12"/>
        </w:numPr>
      </w:pPr>
      <w:r>
        <w:t>o desenvolvimento técnico conduz necessariamente ao aumento do tempo livre.</w:t>
      </w:r>
    </w:p>
    <w:p>
      <w:pPr>
        <w:pStyle w:val="Alternativa"/>
        <w:numPr>
          <w:ilvl w:val="0"/>
          <w:numId w:val="12"/>
        </w:numPr>
      </w:pPr>
      <w:r>
        <w:t>a técnica possui efeitos idênticos para todos os grupos sociais.</w:t>
      </w:r>
    </w:p>
    <w:p>
      <w:pPr>
        <w:pStyle w:val="Alternativa"/>
        <w:numPr>
          <w:ilvl w:val="0"/>
          <w:numId w:val="12"/>
        </w:numPr>
      </w:pPr>
      <w:r>
        <w:t>o uso social de uma tecnologia pode ampliar o tempo disponível para a produção.</w:t>
      </w:r>
    </w:p>
    <w:p>
      <w:pPr>
        <w:pStyle w:val="Alternativa"/>
        <w:numPr>
          <w:ilvl w:val="0"/>
          <w:numId w:val="12"/>
        </w:numPr>
      </w:pPr>
      <w:r>
        <w:t>a organização do trabalho independe das relações políticas e econômicas.</w:t>
      </w:r>
    </w:p>
    <w:p>
      <w:pPr>
        <w:pStyle w:val="Resoluçãocomentada"/>
      </w:pPr>
      <w:r>
        <w:rPr>
          <w:b/>
        </w:rPr>
        <w:t xml:space="preserve">RESOLUÇÃO COMENTADA - D: </w:t>
      </w:r>
      <w:r>
        <w:t>a iluminação artificial cria a possibilidade de estender a atividade produtiva. A duração da jornada, porém, depende de relações sociais, direitos e decisões políticas; não é consequência automática da tecnologia.</w:t>
      </w:r>
    </w:p>
    <w:p>
      <w:pPr>
        <w:pStyle w:val="Notaparadiagramação"/>
      </w:pPr>
      <w:r>
        <w:rPr>
          <w:b/>
        </w:rPr>
        <w:t xml:space="preserve">NOTA EDITORIAL: </w:t>
      </w:r>
      <w:r>
        <w:t>o plano original menciona “ENEM 2015, questão 02” na sequência didática e “Questão 03” nas referências. Conferir o caderno antes de reproduzir a questão oficial. Este protótipo utiliza uma questão autoral para não ocultar a inconsistência.</w:t>
      </w:r>
    </w:p>
    <w:p>
      <w:pPr>
        <w:pStyle w:val="Heading1"/>
      </w:pPr>
      <w:r>
        <w:t>3. Divisão territorial do trabalho</w:t>
      </w:r>
    </w:p>
    <w:p>
      <w:pPr>
        <w:pStyle w:val="Exemploconcreto"/>
      </w:pPr>
      <w:r>
        <w:rPr>
          <w:b/>
        </w:rPr>
        <w:t xml:space="preserve">ESTUDO DE CASO - RANA PLAZA: </w:t>
      </w:r>
      <w:r>
        <w:t>Em 2013, o desabamento do edifício Rana Plaza, em Bangladesh, matou 1.134 pessoas. O prédio abrigava fábricas de roupas integradas a cadeias internacionais. A tragédia tornou visível uma geografia na qual marcas e mercados consumidores podiam estar distantes dos locais onde o trabalho e o risco se concentravam.</w:t>
      </w:r>
    </w:p>
    <w:p>
      <w:pPr>
        <w:pStyle w:val="Conceito-chave"/>
      </w:pPr>
      <w:r>
        <w:rPr>
          <w:b/>
        </w:rPr>
        <w:t xml:space="preserve">DIVISÃO TERRITORIAL DO TRABALHO: </w:t>
      </w:r>
      <w:r>
        <w:t>distribuição das atividades e funções econômicas entre diferentes lugares e posições de uma mesma rede. Alguns espaços concentram comando, tecnologia, informação e lucros; outros concentram execução, remunerações menores e exposição mais direta aos riscos.</w:t>
      </w:r>
    </w:p>
    <w:p>
      <w:pPr>
        <w:pStyle w:val="Frase-chave"/>
      </w:pPr>
      <w:r>
        <w:rPr>
          <w:b/>
        </w:rPr>
        <w:t xml:space="preserve">FRASE-CHAVE: </w:t>
      </w:r>
      <w:r>
        <w:t>A mesma rede que conecta os lugares também distribui de forma desigual comando, ganhos, trabalho e risco.</w:t>
      </w:r>
    </w:p>
    <w:p>
      <w:pPr>
        <w:pStyle w:val="Heading1"/>
      </w:pPr>
      <w:r>
        <w:t>4. Cadeias globais e plataformas digitais</w:t>
      </w:r>
    </w:p>
    <w:p>
      <w:pPr/>
      <w:r>
        <w:t>Uma cadeia global de roupas e o trabalho organizado por plataformas não são fenômenos equivalentes. A comparação serve para localizar uma questão comum: quem controla aspectos centrais da rede e quem assume diretamente seus custos e riscos?</w:t>
      </w:r>
    </w:p>
    <w:tbl>
      <w:tblPr>
        <w:tblStyle w:val="TableGrid"/>
        <w:tblW w:type="dxa" w:w="927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0"/>
        <w:gridCol w:w="3385"/>
        <w:gridCol w:w="3385"/>
      </w:tblGrid>
      <w:tr>
        <w:trPr>
          <w:tblHeader w:val="true"/>
        </w:trPr>
        <w:tc>
          <w:tcPr>
            <w:tcW w:type="dxa" w:w="2500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3385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Cadeia global de roupas</w:t>
            </w:r>
          </w:p>
        </w:tc>
        <w:tc>
          <w:tcPr>
            <w:tcW w:type="dxa" w:w="3385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Trabalho por plataformas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3"/>
                <w:sz w:val="18"/>
              </w:rPr>
              <w:t>Quem controla aspectos centrais?</w:t>
            </w:r>
          </w:p>
        </w:tc>
        <w:tc>
          <w:tcPr>
            <w:tcW w:type="dxa" w:w="338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Marcas, contratantes e gestores da cadeia</w:t>
            </w:r>
          </w:p>
        </w:tc>
        <w:tc>
          <w:tcPr>
            <w:tcW w:type="dxa" w:w="338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Empresa proprietária da plataforma</w:t>
            </w:r>
          </w:p>
        </w:tc>
      </w:tr>
      <w:tr>
        <w:tc>
          <w:tcPr>
            <w:tcW w:type="dxa" w:w="2500"/>
            <w:shd w:fill="F2F4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3"/>
                <w:sz w:val="18"/>
              </w:rPr>
              <w:t>Quem executa o trabalho?</w:t>
            </w:r>
          </w:p>
        </w:tc>
        <w:tc>
          <w:tcPr>
            <w:tcW w:type="dxa" w:w="3385"/>
            <w:shd w:fill="F2F4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Trabalhadores das fábricas</w:t>
            </w:r>
          </w:p>
        </w:tc>
        <w:tc>
          <w:tcPr>
            <w:tcW w:type="dxa" w:w="3385"/>
            <w:shd w:fill="F2F4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Entregadores e motoristas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3"/>
                <w:sz w:val="18"/>
              </w:rPr>
              <w:t>Quem assume custos e riscos diretos?</w:t>
            </w:r>
          </w:p>
        </w:tc>
        <w:tc>
          <w:tcPr>
            <w:tcW w:type="dxa" w:w="338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Trabalhadores e fornecedores locais</w:t>
            </w:r>
          </w:p>
        </w:tc>
        <w:tc>
          <w:tcPr>
            <w:tcW w:type="dxa" w:w="338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Trabalhador</w:t>
            </w:r>
          </w:p>
        </w:tc>
      </w:tr>
    </w:tbl>
    <w:p>
      <w:pPr>
        <w:pStyle w:val="Fontedefigura"/>
        <w:spacing w:before="60"/>
      </w:pPr>
      <w:r>
        <w:t>Quadro 1 - Comparação analítica entre duas formas distintas de organização do trabalho.</w:t>
      </w:r>
    </w:p>
    <w:p>
      <w:pPr>
        <w:pStyle w:val="Conceito-chave"/>
      </w:pPr>
      <w:r>
        <w:rPr>
          <w:b/>
        </w:rPr>
        <w:t xml:space="preserve">TRANSFERÊNCIA DE RISCOS: </w:t>
      </w:r>
      <w:r>
        <w:t>processo pelo qual uma empresa mantém controle sobre aspectos centrais da atividade, mas desloca parte dos custos e riscos para trabalhadores ou fornecedores. No trabalho por plataformas, isso pode incluir veículo, combustível, manutenção, tempo de espera e risco de acidente.</w:t>
      </w:r>
    </w:p>
    <w:p>
      <w:pPr>
        <w:pStyle w:val="Atividade"/>
      </w:pPr>
      <w:r>
        <w:rPr>
          <w:b/>
        </w:rPr>
        <w:t xml:space="preserve">COMPARE SEM IGUALAR: </w:t>
      </w:r>
      <w:r>
        <w:t>identifique uma semelhança e uma diferença entre a cadeia global de roupas e o trabalho por plataformas. Sua resposta deve mencionar comando, execução ou risco.</w:t>
      </w:r>
    </w:p>
    <w:p>
      <w:pPr>
        <w:pStyle w:val="Heading1"/>
      </w:pPr>
      <w:r>
        <w:t>5. Produtividade e escala 6×1</w:t>
      </w:r>
    </w:p>
    <w:p>
      <w:pPr/>
      <w:r>
        <w:t>Tecnologias podem acelerar a circulação, conectar lugares e ampliar a capacidade de produzir. Nenhuma dessas possibilidades decide, por si mesma, quem receberá os ganhos de produtividade, quantos dias serão trabalhados ou quanto tempo será destinado ao descanso.</w:t>
      </w:r>
    </w:p>
    <w:p>
      <w:pPr>
        <w:pStyle w:val="Frase-chave"/>
      </w:pPr>
      <w:r>
        <w:rPr>
          <w:b/>
        </w:rPr>
        <w:t xml:space="preserve">A escala 6×1 não é uma necessidade criada pela tecnologia. </w:t>
      </w:r>
      <w:r>
        <w:t>Ela é uma forma social e política de organizar e distribuir o tempo de trabalho.</w:t>
      </w:r>
    </w:p>
    <w:p>
      <w:pPr>
        <w:pStyle w:val="Heading1"/>
      </w:pPr>
      <w:r>
        <w:t>Síntese</w:t>
      </w:r>
    </w:p>
    <w:p>
      <w:pPr>
        <w:pStyle w:val="Questãocentral"/>
      </w:pPr>
      <w:r>
        <w:rPr>
          <w:b/>
        </w:rPr>
        <w:t xml:space="preserve">RETOMANDO A QUESTÃO CENTRAL: </w:t>
      </w:r>
      <w:r>
        <w:t>a tecnologia modifica a produção e reorganiza o espaço e o tempo, mas a transformação dos ganhos de produtividade em segurança, descanso ou redução da jornada depende de direitos, decisões políticas, organização coletiva e relações de poder.</w:t>
      </w:r>
    </w:p>
    <w:p>
      <w:pPr>
        <w:pStyle w:val="Atividade"/>
      </w:pPr>
      <w:r>
        <w:rPr>
          <w:b/>
        </w:rPr>
        <w:t xml:space="preserve">EM UMA FRASE: </w:t>
      </w:r>
      <w:r>
        <w:t>complete: “A tecnologia modifica a produção, mas o tempo livre depende de...” Depois, justifique sua resposta com um exemplo do subcapítulo.</w:t>
      </w:r>
    </w:p>
    <w:p>
      <w:pPr>
        <w:pStyle w:val="Heading1"/>
      </w:pPr>
      <w:r>
        <w:t>Vocabulário de revisão</w:t>
      </w:r>
    </w:p>
    <w:p>
      <w:pPr/>
      <w:r>
        <w:rPr>
          <w:b/>
        </w:rPr>
        <w:t xml:space="preserve">Meio Técnico-Científico-Informacional: </w:t>
      </w:r>
      <w:r>
        <w:t>integração entre técnica, ciência, informação, infraestruturas e ações na organização do espaço.</w:t>
      </w:r>
    </w:p>
    <w:p>
      <w:pPr/>
      <w:r>
        <w:rPr>
          <w:b/>
        </w:rPr>
        <w:t xml:space="preserve">Divisão territorial do trabalho: </w:t>
      </w:r>
      <w:r>
        <w:t>distribuição de funções econômicas entre diferentes lugares e posições de uma rede.</w:t>
      </w:r>
    </w:p>
    <w:p>
      <w:pPr/>
      <w:r>
        <w:rPr>
          <w:b/>
        </w:rPr>
        <w:t xml:space="preserve">Transferência de riscos: </w:t>
      </w:r>
      <w:r>
        <w:t>deslocamento de custos e riscos para participantes com menor controle sobre a atividade.</w:t>
      </w:r>
    </w:p>
    <w:p>
      <w:pPr/>
      <w:r>
        <w:rPr>
          <w:b/>
        </w:rPr>
        <w:t xml:space="preserve">Produtividade: </w:t>
      </w:r>
      <w:r>
        <w:t>relação entre resultados produzidos e recursos ou tempo empregados.</w:t>
      </w:r>
    </w:p>
    <w:p>
      <w:pPr>
        <w:pStyle w:val="Heading1"/>
      </w:pPr>
      <w:r>
        <w:t>Referências e fontes</w:t>
      </w:r>
    </w:p>
    <w:p>
      <w:pPr>
        <w:pStyle w:val="Referência"/>
      </w:pPr>
      <w:r>
        <w:t>IBGE. PNAD Contínua: teletrabalho e trabalho por meio de plataformas digitais.</w:t>
      </w:r>
    </w:p>
    <w:p>
      <w:pPr>
        <w:pStyle w:val="Referência"/>
      </w:pPr>
      <w:r>
        <w:t>INEP. Matriz de Referência do ENEM.</w:t>
      </w:r>
    </w:p>
    <w:p>
      <w:pPr>
        <w:pStyle w:val="Referência"/>
      </w:pPr>
      <w:r>
        <w:t>INEP. ENEM 2015. Ciências Humanas e suas Tecnologias. Caderno 1 - Azul. [Confirmar numeração da questão.]</w:t>
      </w:r>
    </w:p>
    <w:p>
      <w:pPr>
        <w:pStyle w:val="Referência"/>
      </w:pPr>
      <w:r>
        <w:t>SANTOS, Milton. A natureza do espaço: técnica e tempo, razão e emoção. São Paulo: Edusp. [Confirmar edição e ano utilizados.]</w:t>
      </w:r>
    </w:p>
    <w:p>
      <w:pPr>
        <w:pStyle w:val="Referência"/>
      </w:pPr>
      <w:r>
        <w:t>OXFAM BRASIL. 10 anos da tragédia de Rana Plaza: lições para o Brasil. Disponível em: https://www.oxfam.org.br/10-anos-da-tragedia-de-rana-plaza-licoes-para-o-brasil/.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870"/>
        <w:sz w:val="17"/>
      </w:rPr>
      <w:t xml:space="preserve">p.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2" w:color="CAD6DA"/>
      </w:pBdr>
    </w:pPr>
    <w:r>
      <w:rPr>
        <w:rFonts w:ascii="Calibri" w:hAnsi="Calibri"/>
        <w:b/>
        <w:color w:val="5E6870"/>
        <w:sz w:val="17"/>
      </w:rPr>
      <w:t>ProENEM 2026  |  Geografia  |  Modelo de autoria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upperLetter"/>
      <w:lvlText w:val="%1)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  <w:jc w:val="left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4C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4C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F4C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4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 w:val="0"/>
      <w:iCs/>
      <w:color w:val="5E68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ãocentral">
    <w:name w:val="Questão central"/>
    <w:basedOn w:val="Normal"/>
    <w:pPr>
      <w:spacing w:before="120" w:after="120" w:line="269" w:lineRule="auto"/>
      <w:ind w:left="198" w:right="113"/>
      <w:shd w:fill="FFF5DF"/>
      <w:pBdr>
        <w:left w:val="single" w:sz="20" w:space="8" w:color="C58C2B"/>
      </w:pBdr>
    </w:pPr>
    <w:rPr>
      <w:rFonts w:ascii="Calibri" w:hAnsi="Calibri"/>
      <w:b/>
      <w:color w:val="12343B"/>
      <w:sz w:val="21"/>
    </w:rPr>
    <w:qFormat/>
  </w:style>
  <w:style w:type="paragraph" w:customStyle="1" w:styleId="Objetivos">
    <w:name w:val="Objetivos"/>
    <w:basedOn w:val="Normal"/>
    <w:pPr>
      <w:spacing w:before="120" w:after="120" w:line="269" w:lineRule="auto"/>
      <w:ind w:left="198" w:right="113"/>
      <w:shd w:fill="F2F4F5"/>
      <w:pBdr>
        <w:left w:val="single" w:sz="20" w:space="8" w:color="0F4C5C"/>
      </w:pBdr>
    </w:pPr>
    <w:rPr>
      <w:rFonts w:ascii="Calibri" w:hAnsi="Calibri"/>
      <w:b w:val="0"/>
      <w:color w:val="12343B"/>
      <w:sz w:val="21"/>
    </w:rPr>
    <w:qFormat/>
  </w:style>
  <w:style w:type="paragraph" w:customStyle="1" w:styleId="Conceito-chave">
    <w:name w:val="Conceito-chave"/>
    <w:basedOn w:val="Normal"/>
    <w:pPr>
      <w:spacing w:before="120" w:after="120" w:line="269" w:lineRule="auto"/>
      <w:ind w:left="198" w:right="113"/>
      <w:shd w:fill="EAF4F6"/>
      <w:pBdr>
        <w:left w:val="single" w:sz="20" w:space="8" w:color="0F4C5C"/>
      </w:pBdr>
    </w:pPr>
    <w:rPr>
      <w:rFonts w:ascii="Calibri" w:hAnsi="Calibri"/>
      <w:b w:val="0"/>
      <w:color w:val="12343B"/>
      <w:sz w:val="21"/>
    </w:rPr>
    <w:qFormat/>
  </w:style>
  <w:style w:type="paragraph" w:customStyle="1" w:styleId="Frase-chave">
    <w:name w:val="Frase-chave"/>
    <w:basedOn w:val="Normal"/>
    <w:pPr>
      <w:spacing w:before="120" w:after="120" w:line="269" w:lineRule="auto"/>
      <w:ind w:left="198" w:right="113"/>
      <w:shd w:fill="EDF6EF"/>
      <w:pBdr>
        <w:left w:val="single" w:sz="20" w:space="8" w:color="3B6B4A"/>
      </w:pBdr>
    </w:pPr>
    <w:rPr>
      <w:rFonts w:ascii="Calibri" w:hAnsi="Calibri"/>
      <w:b/>
      <w:color w:val="3B6B4A"/>
      <w:sz w:val="21"/>
    </w:rPr>
    <w:qFormat/>
  </w:style>
  <w:style w:type="paragraph" w:customStyle="1" w:styleId="Exemploconcreto">
    <w:name w:val="Exemplo concreto"/>
    <w:basedOn w:val="Normal"/>
    <w:pPr>
      <w:spacing w:before="120" w:after="120" w:line="269" w:lineRule="auto"/>
      <w:ind w:left="198" w:right="113"/>
      <w:shd w:fill="F2F4F5"/>
      <w:pBdr>
        <w:left w:val="single" w:sz="20" w:space="8" w:color="5E6870"/>
      </w:pBdr>
    </w:pPr>
    <w:rPr>
      <w:rFonts w:ascii="Calibri" w:hAnsi="Calibri"/>
      <w:b w:val="0"/>
      <w:color w:val="12343B"/>
      <w:sz w:val="21"/>
    </w:rPr>
    <w:qFormat/>
  </w:style>
  <w:style w:type="paragraph" w:customStyle="1" w:styleId="Atividade">
    <w:name w:val="Atividade"/>
    <w:basedOn w:val="Normal"/>
    <w:pPr>
      <w:spacing w:before="120" w:after="120" w:line="269" w:lineRule="auto"/>
      <w:ind w:left="198" w:right="113"/>
      <w:shd w:fill="FFF5DF"/>
      <w:pBdr>
        <w:left w:val="single" w:sz="20" w:space="8" w:color="C58C2B"/>
      </w:pBdr>
    </w:pPr>
    <w:rPr>
      <w:rFonts w:ascii="Calibri" w:hAnsi="Calibri"/>
      <w:b w:val="0"/>
      <w:color w:val="12343B"/>
      <w:sz w:val="21"/>
    </w:rPr>
    <w:qFormat/>
  </w:style>
  <w:style w:type="paragraph" w:customStyle="1" w:styleId="Questão">
    <w:name w:val="Questão"/>
    <w:basedOn w:val="Normal"/>
    <w:pPr>
      <w:spacing w:before="120" w:after="120" w:line="269" w:lineRule="auto"/>
      <w:ind w:left="198" w:right="113"/>
      <w:shd w:fill="EAF4F6"/>
      <w:pBdr>
        <w:left w:val="single" w:sz="20" w:space="8" w:color="0F4C5C"/>
      </w:pBdr>
    </w:pPr>
    <w:rPr>
      <w:rFonts w:ascii="Calibri" w:hAnsi="Calibri"/>
      <w:b w:val="0"/>
      <w:color w:val="12343B"/>
      <w:sz w:val="21"/>
    </w:rPr>
    <w:qFormat/>
  </w:style>
  <w:style w:type="paragraph" w:customStyle="1" w:styleId="Resoluçãocomentada">
    <w:name w:val="Resolução comentada"/>
    <w:basedOn w:val="Normal"/>
    <w:pPr>
      <w:spacing w:before="120" w:after="120" w:line="269" w:lineRule="auto"/>
      <w:ind w:left="198" w:right="113"/>
      <w:shd w:fill="EDF6EF"/>
      <w:pBdr>
        <w:left w:val="single" w:sz="20" w:space="8" w:color="3B6B4A"/>
      </w:pBdr>
    </w:pPr>
    <w:rPr>
      <w:rFonts w:ascii="Calibri" w:hAnsi="Calibri"/>
      <w:b w:val="0"/>
      <w:color w:val="3B6B4A"/>
      <w:sz w:val="21"/>
    </w:rPr>
    <w:qFormat/>
  </w:style>
  <w:style w:type="paragraph" w:customStyle="1" w:styleId="Notaparadiagramação">
    <w:name w:val="Nota para diagramação"/>
    <w:basedOn w:val="Normal"/>
    <w:pPr>
      <w:spacing w:before="120" w:after="120" w:line="269" w:lineRule="auto"/>
      <w:ind w:left="198" w:right="113"/>
      <w:shd w:fill="FBEDEE"/>
      <w:pBdr>
        <w:left w:val="single" w:sz="20" w:space="8" w:color="A63D40"/>
      </w:pBdr>
    </w:pPr>
    <w:rPr>
      <w:rFonts w:ascii="Calibri" w:hAnsi="Calibri"/>
      <w:b w:val="0"/>
      <w:color w:val="A63D40"/>
      <w:sz w:val="21"/>
    </w:rPr>
    <w:qFormat/>
  </w:style>
  <w:style w:type="paragraph" w:customStyle="1" w:styleId="Alternativa">
    <w:name w:val="Alternativa"/>
    <w:basedOn w:val="Normal"/>
    <w:pPr>
      <w:spacing w:before="0" w:after="60"/>
    </w:pPr>
    <w:rPr>
      <w:rFonts w:ascii="Calibri" w:hAnsi="Calibri"/>
      <w:i w:val="0"/>
      <w:color w:val="1F2933"/>
      <w:sz w:val="20"/>
    </w:rPr>
    <w:qFormat/>
  </w:style>
  <w:style w:type="paragraph" w:customStyle="1" w:styleId="Citaçãolonga">
    <w:name w:val="Citação longa"/>
    <w:basedOn w:val="Normal"/>
    <w:pPr>
      <w:spacing w:before="0" w:after="60"/>
      <w:ind w:left="624" w:right="283"/>
    </w:pPr>
    <w:rPr>
      <w:rFonts w:ascii="Calibri" w:hAnsi="Calibri"/>
      <w:i/>
      <w:color w:val="5E6870"/>
      <w:sz w:val="19"/>
    </w:rPr>
    <w:qFormat/>
  </w:style>
  <w:style w:type="paragraph" w:customStyle="1" w:styleId="Legendadefigura">
    <w:name w:val="Legenda de figura"/>
    <w:basedOn w:val="Normal"/>
    <w:pPr>
      <w:spacing w:before="0" w:after="60"/>
    </w:pPr>
    <w:rPr>
      <w:rFonts w:ascii="Calibri" w:hAnsi="Calibri"/>
      <w:i w:val="0"/>
      <w:color w:val="12343B"/>
      <w:sz w:val="18"/>
    </w:rPr>
    <w:qFormat/>
  </w:style>
  <w:style w:type="paragraph" w:customStyle="1" w:styleId="Fontedefigura">
    <w:name w:val="Fonte de figura"/>
    <w:basedOn w:val="Normal"/>
    <w:pPr>
      <w:keepNext w:val="0"/>
      <w:spacing w:before="0" w:after="60"/>
    </w:pPr>
    <w:rPr>
      <w:rFonts w:ascii="Calibri" w:hAnsi="Calibri"/>
      <w:i w:val="0"/>
      <w:color w:val="5E6870"/>
      <w:sz w:val="17"/>
    </w:rPr>
    <w:qFormat/>
  </w:style>
  <w:style w:type="paragraph" w:customStyle="1" w:styleId="Referência">
    <w:name w:val="Referência"/>
    <w:basedOn w:val="Normal"/>
    <w:pPr>
      <w:spacing w:before="0" w:after="20" w:line="247" w:lineRule="auto"/>
    </w:pPr>
    <w:rPr>
      <w:rFonts w:ascii="Calibri" w:hAnsi="Calibri"/>
      <w:i w:val="0"/>
      <w:color w:val="1F2933"/>
      <w:sz w:val="17"/>
    </w:rPr>
    <w:qFormat/>
  </w:style>
  <w:style w:type="paragraph" w:customStyle="1" w:styleId="Metadado">
    <w:name w:val="Metadado"/>
    <w:basedOn w:val="Normal"/>
    <w:pPr>
      <w:spacing w:before="0" w:after="60"/>
    </w:pPr>
    <w:rPr>
      <w:rFonts w:ascii="Calibri" w:hAnsi="Calibri"/>
      <w:i w:val="0"/>
      <w:color w:val="5E6870"/>
      <w:sz w:val="18"/>
    </w:rPr>
    <w:qFormat/>
  </w:style>
  <w:style w:type="character" w:customStyle="1" w:styleId="Textodeorientação">
    <w:name w:val="Texto de orientação"/>
    <w:rPr>
      <w:rFonts w:ascii="Calibri" w:hAnsi="Calibri"/>
      <w:i/>
      <w:color w:val="5E687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Tempo, tecnologia e trabalho - modelo Word preenchido</dc:title>
  <dc:subject>Subcapítulo-protótipo para conversão em LaTeX</dc:subject>
  <dc:creator>Walker / equipe de Geografia do ProENEM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