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Задания 1, 2, 3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Владимир Олегович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2</w:t>
        <w:br/>
        <w:t>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3685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сотрудников в группах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Рост числа сотрудников (в каждой группе), %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20, 15, 18, 13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12 портов 10/100BASE-TX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24 порта 10/100BASE-TX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Подключение к сети сотрудников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4535"/>
        <w:gridCol w:w="1531"/>
      </w:tblGrid>
      <w:tr>
        <w:trPr>
          <w:tblHeader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Рабочих мест с учётом роста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Перечень оборудования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 (S12TF, ЦК A), S24-03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 (S24TF, ЦК A)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 (S12TF, ЦК B) — корневой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 коммутаторов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Разработка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35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3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3. Структура ЛВС с активной конфигурацией и ролями портов STP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рядом с коммутаторами, к которым подключены: File-server-main — ЦК B; DB-server-main — ЦК B; WG-1-server — ЦК B; WG-2-server — ЦК B; WG-3-server — ЦК A; WG-4-server — ЦК B.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3</w:t>
        <w:br/>
        <w:t>Разработка локальной вычислительной сети на интеллектуальных коммутаторах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и разработки структуры комплекса технических средств локальной сети на коммутаторах, поддерживающих технологию виртуальных локальных сетей (VLAN) по стандарту IEEE 802.1q и статическую маршрутизацию.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на интеллектуальных коммутаторах (Smart Switch) построить ЛВС, в которой широковещательный трафик каждой рабочей группы изолирован от других групп, стоимостью не более 210 у.е.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969"/>
      </w:tblGrid>
      <w:tr>
        <w:trPr>
          <w:tblHeader w:val="true"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Максимальная стоимость, у.е.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 (SMART SWITCH)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12 портов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24 порта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3-го уровня: 12 портов 10/100/1000BASE-T, IEEE 802.1q, статическая маршрутизация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Каждой рабочей группе выделена своя VLAN на основе портов; общие серверы отдела вынесены в отдельную VLAN50. Маршрутизацию между VLAN выполняет модуль маршрутизации коммутатора третьего уровня. Рабочие места подключаются к портам 100BASE-TX, серверы — к портам 1000BASE-T.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Необходимое число портов по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1984"/>
        <w:gridCol w:w="1984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100BASE-TX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1000BASE-T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Коммутатор третьего уровня SS12TG-L3 (12 портов 1000BASE-T) обязателен — он маршрутизирует трафик между VLAN; к нему подключены общие серверы, магистрали от коммутаторов второго уровня и (в задании 4) два внешних маршрутизатора. Коммутаторы второго уровня выбраны по числу рабочих мест в каждом центре коммутации при минимальной стоимости; один гигабитный порт каждого из них — магистраль (T) к коммутатору третьего уровня, второй — под сервер группы.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рабочих места подключены к свободным портам 10/100/1000BASE-T — они совместимы с 100BASE-TX, это позволяет уложиться в заданную стоимость.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Стоимость: 3·55 + 1·45 = 210 у.е., что не превышает заданных 210 у.е.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вместе с коммутаторами, к которым подключены: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File-server-main — SS3L12-01, порт 1,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DB-server-main — SS3L12-01, порт 2,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WG-1-server — SS2L24-02,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WG-2-server — SS2L24-03,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WG-3-server — SS2L24-01, порт 25,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WG-4-server — SS3L12-01, порт 3, ЦК A.</w:t>
      </w:r>
    </w:p>
    <w:p>
      <w:pPr>
        <w:pStyle w:val="Heading2"/>
      </w:pPr>
      <w:r>
        <w:t>Разработка сети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Порты рабочих мест и серверов работают в режиме U (untagged) и принадлежат VLAN своей группы; магистральные порты между коммутаторами работают в режиме T (tagged) и передают кадры всех VLAN с метками IEEE 802.1q.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50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5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4. Структура ЛВС с VLAN на интеллектуальных коммутаторах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порты 1000BASE-T поддерживают автоматическое определение типа кабеля (Auto MDI/MDI-X), поэтому все соединения выполняются прямым кабелем (||).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 (VLAN10)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 (VLAN20)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 (VLAN30)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 (VLAN40)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Адреса сетей имеют вид 1xx.1yy.zz.0/24, где xx = 12 — номер учебной группы, yy = 17 — номер студента в журнале, zz — номер VLAN. В каждой VLAN адрес .1 — интерфейс модуля маршрутизации (шлюз по умолчанию), .2 — сервер группы, далее — рабочие места; в VLAN50: .2 — общий сервер, .3 — сервер БД.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IP-адресов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72"/>
        <w:gridCol w:w="1120"/>
        <w:gridCol w:w="1848"/>
        <w:gridCol w:w="2241"/>
        <w:gridCol w:w="1904"/>
        <w:gridCol w:w="1568"/>
      </w:tblGrid>
      <w:tr>
        <w:trPr>
          <w:tblHeader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№ п/п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 ID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сети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пользователи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серверы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модуля маршрутизации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1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112.117.50.0/24</w:t>
            </w:r>
          </w:p>
        </w:tc>
        <w:tc>
          <w:tcPr>
            <w:tcW w:type="dxa" w:w="22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112.117.50.2, 112.117.50.3</w:t>
            </w:r>
          </w:p>
        </w:tc>
        <w:tc>
          <w:tcPr>
            <w:tcW w:type="dxa" w:w="15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