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Расчетное задание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ОСНОВЫ ПОСТРОЕНИЯ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КОМПЬЮТЕРНЫХ СЕТЕЙ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по курсу «Компьютерные сети»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Задания 1, 2, 3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Выполнил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Студент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Рязанцев Иоанн Васильевич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Группа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А-12-23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Вариант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17</w:t>
            </w:r>
          </w:p>
        </w:tc>
      </w:tr>
    </w:tbl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Принял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Рыбинцев В.О.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Дата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</w:r>
          </w:p>
        </w:tc>
      </w:tr>
    </w:tbl>
    <w:p>
      <w:pPr>
        <w:ind w:firstLine="0"/>
      </w:pPr>
      <w:r>
        <w:br w:type="page"/>
      </w:r>
    </w:p>
    <w:p>
      <w:pPr>
        <w:pStyle w:val="Heading1"/>
      </w:pPr>
      <w:r>
        <w:t>Задание 1</w:t>
        <w:br/>
        <w:t>Разработка структурированной кабельной системы этажа здания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разработки структурированной кабельной системы (СКС) этажа здания и оформления соответствующей эксплуатационной документации.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соответствии с вариантом и конфигурацией зон подключения U-3 разработать СКС на витой паре категории 5е, удовлетворяющую исходным данным.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2551"/>
        <w:gridCol w:w="3402"/>
        <w:gridCol w:w="1984"/>
      </w:tblGrid>
      <w:tr>
        <w:trPr>
          <w:tblHeader w:val="true"/>
        </w:trPr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Конфигурация зон подключения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Количество точек подключения в зонах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Размеры (L×W), м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U-3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18, 23, 14, 15, 16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 × 70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1. Конфигурация зон подключения U-3</w:t>
      </w:r>
    </w:p>
    <w:p>
      <w:pPr>
        <w:pStyle w:val="Heading2"/>
      </w:pPr>
      <w:r>
        <w:t>Выполнение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 допустимых мест размещения (рис. 1) выбрано 2 центра коммутации — A, B. Места выбраны так, чтобы длина каждого статического соединения не превышала 90 м, а суммарная длина кабеля была минимальной. Масштаб плана: L = 110 м, W = 70 м.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зоны подключения 2, 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зоны подключения 1, 4, 5.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Точки подключения (розетки RJ45) равномерно распределены вдоль кабельных каналов, проложенных по внутренним границам зон подключения. Идентификатор розетки S-ZZ-NN: ZZ — номер зоны, NN — порядковый номер розетки в зоне. Каждый центр коммутации содержит коммутационные панели на 24 порта RJ45; идентификатор порта P-XNN-MM: X — центр коммутации, NN — номер панели, MM — номер порта.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Распределение точек подключения по зонам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2608"/>
        <w:gridCol w:w="737"/>
        <w:gridCol w:w="3572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Число розеток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Идентификаторы розеток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ЦК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Порты панелей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 – S-01-18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 – P-B01-18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 – S-02-23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 – P-A01-23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 – S-03-14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 – P-A02-13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 – S-04-15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 – P-B02-09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 – S-05-16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 – P-B03-01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260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коммутационных панелей: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37 портов под розетки и 4 под соединения между ЦК — 2 коммутационные панели (A01, A02);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49 портов под розетки и 4 под соединения между ЦК — 3 коммутационные панели (B01, B02, B03).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между центрами коммутации заложены под магистральные связи коммутаторов, расположенных в разных ЦК (задания 2 и 3).</w:t>
      </w:r>
    </w:p>
    <w:p>
      <w:pPr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887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sks_r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887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Документация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Длина кабеля каждого статического соединения определена по плану (рис. 2) как длина трассы по кабельным каналам от розетки до центра коммутации с точностью до 1 м, увеличенная на 3 м на прокладку по вертикали. Наименьшая длина — 10 м, наибольшая — 81 м, что не превышает 90 м, допустимых для статического соединения на витой паре.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СКС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381"/>
        <w:gridCol w:w="238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Длина, м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центрами коммутации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S87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S88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S89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P-A02-16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Задание 2</w:t>
        <w:br/>
        <w:t>Разработка базовой локальной вычислительной сети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комплекса технических средств и разработки отказоустойчивой структуры локальной вычислительной сети за счёт использования возможностей протокола покрывающего дерева (STP, стандарт IEEE 802.1d).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для СКС, разработанной в задании 1, на неинтеллектуальных коммутаторах разработать структуру и выбрать состав технических средств ЛВС отдела из четырёх рабочих групп (WG-1 – WG-4), у каждой из которых есть свой сервер; кроме того, есть общий сервер отдела и сервер базы данных отдела, доступ к которым нужен всем сотрудникам. Все интерфейсы — 100BASE-TX, единое адресное пространство 192.168.0.0/16. Отказ соединения между коммутаторами не должен приводить к потере доступа группы к общим серверам; число транзитных коммутаторов в штатном режиме — минимальное.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4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969"/>
        <w:gridCol w:w="3685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3969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Количество сотрудников в группах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Рост числа сотрудников (в каждой группе), %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20, 15, 18, 13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5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учебного сетевого оборудования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5102"/>
        <w:gridCol w:w="1417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Обозначение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Коммутатор (Switch), 12 портов 10/100BASE-TX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Коммутатор (Switch), 24 порта 10/100BASE-TX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Выбор необходимого оборудования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каждой группы увеличивается на 10 % с округлением вверх: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6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рабочих групп с учётом роста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835"/>
      </w:tblGrid>
      <w:tr>
        <w:trPr>
          <w:tblHeader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Сотрудников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 учётом роста 10 %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Сотрудники каждой группы размещены по возможности в одной зоне и в зонах одного центра коммутации — так группе достаточно коммутаторов в одном ЦК: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 (22 чел.): зона 3 (S-03-01 – S-03-07), зона 4 (S-04-01 – S-04-15);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 (17 чел.): зона 1 (S-01-01 – S-01-17);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 (20 чел.): зона 2 (S-02-01 – S-02-20);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 (15 чел.): зона 5 (S-05-01 – S-05-15);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Свободными (резервными) остаются 12 точек подключения.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каждом коммутаторе рабочей группы резервируются два порта: для подключения к корневому коммутатору отдела и для резервной связи с коммутатором другой группы; сервер группы подключается к коммутатору своей группы. Общий сервер и сервер БД подключены к корневому коммутатору, к которому напрямую подключены все коммутаторы групп — в штатном режиме трафик к общим серверам проходит не более чем через один транзитный коммутатор (корневой).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7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Подключение к сети сотрудников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701"/>
        <w:gridCol w:w="4535"/>
        <w:gridCol w:w="1531"/>
      </w:tblGrid>
      <w:tr>
        <w:trPr>
          <w:tblHeader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Рабочих мест с учётом роста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Перечень оборудования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 (S12TF, ЦК A), S24-03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 (S24TF, ЦК A)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Общие серверы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 (S12TF, ЦК B) — корневой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 коммутаторов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Разработка сети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Идентификаторы коммутаторов (ID) назначены так, что наименьший ID = 1 имеет коммутатор S12-01; по алгоритму STP он становится корневым мостом, все его порты — назначенные (Н). У коммутаторов групп порт, ведущий к корневому, — корневой (К). На резервных связях между коммутаторами групп оба конца имеют одинаковую стоимость пути до корня, поэтому назначенным становится порт коммутатора с меньшим ID, а порт коммутатора с большим ID блокируется (Б). При обрыве связи коммутатора группы с корневым заблокированный порт переходит в рабочее состояние, и доступ к общим серверам сохраняется через соседний коммутатор.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Рабочие места подключены к портам коммутаторов групп (на рисунке не показаны, чтобы не загромождать схему):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S12-02: порты 1 – 7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S24-03: порты 1 – 15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S24-04: порты 1 – 17 — рабочие места WG-2;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S24-05: порты 1 – 20 — рабочие места WG-3;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S24-06: порты 1 – 15 — рабочие места WG-4.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350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3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3. Структура ЛВС с активной конфигурацией и ролями портов STP</w:t>
      </w:r>
    </w:p>
    <w:p>
      <w:pPr>
        <w:pStyle w:val="Heading2"/>
      </w:pPr>
      <w:r>
        <w:t>Документация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8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551"/>
        <w:gridCol w:w="2835"/>
        <w:gridCol w:w="2268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оборудования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оборудования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центра коммутации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Серверы размещены в центрах коммутации рядом с коммутаторами, к которым подключены: File-server-main — ЦК B; DB-server-main — ЦК B; WG-1-server — ЦК B; WG-2-server — ЦК B; WG-3-server — ЦК A; WG-4-server — ЦК B.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Связи коммутаторов, находящихся в разных центрах коммутации, проходят через статические соединения между ЦК (задание 1); скрещённый кабель (X) ставится с одной стороны, чтобы соединение коммутатор — коммутатор в целом было скрещённым.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9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Сервера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File-server-main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D86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DB-server-main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D87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D88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D89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WG-4-server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Задание 3</w:t>
        <w:br/>
        <w:t>Разработка локальной вычислительной сети на интеллектуальных коммутаторах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и разработки структуры комплекса технических средств локальной сети на коммутаторах, поддерживающих технологию виртуальных локальных сетей (VLAN) по стандарту IEEE 802.1q и статическую маршрутизацию.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на интеллектуальных коммутаторах (Smart Switch) построить ЛВС, в которой широковещательный трафик каждой рабочей группы изолирован от других групп, стоимостью не более 210 у.е.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10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3969"/>
      </w:tblGrid>
      <w:tr>
        <w:trPr>
          <w:tblHeader w:val="true"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3969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Максимальная стоимость, у.е.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11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учебного сетевого оборудования (SMART SWITCH)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5102"/>
        <w:gridCol w:w="1417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Обозначение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SS12TF-2TG-L2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Интеллектуальный коммутатор 2-го уровня: 12 портов 10/100BASE-TX, 2 порта 10/100/1000BASE-T, IEEE 802.1q (VLAN на основе портов)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Интеллектуальный коммутатор 2-го уровня: 24 порта 10/100BASE-TX, 2 порта 10/100/1000BASE-T, IEEE 802.1q (VLAN на основе портов)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SS12TG-L3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Интеллектуальный коммутатор 3-го уровня: 12 портов 10/100/1000BASE-T, IEEE 802.1q, статическая маршрутизация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Выбор необходимого оборудования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Каждой рабочей группе выделена своя VLAN на основе портов; общие серверы отдела вынесены в отдельную VLAN50. Маршрутизацию между VLAN выполняет модуль маршрутизации коммутатора третьего уровня. Рабочие места подключаются к портам 100BASE-TX, серверы — к портам 1000BASE-T.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12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Необходимое число портов по VLAN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1984"/>
        <w:gridCol w:w="1984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VLAN ID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Портов 100BASE-TX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Портов 1000BASE-T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VLAN10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VLAN20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VLAN30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VLAN40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VLAN50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Общие серверы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Коммутатор третьего уровня SS12TG-L3 (12 портов 1000BASE-T) обязателен — он маршрутизирует трафик между VLAN; к нему подключены общие серверы, магистрали от коммутаторов второго уровня и (в задании 4) два внешних маршрутизатора. Коммутаторы второго уровня выбраны по числу рабочих мест в каждом центре коммутации при минимальной стоимости; один гигабитный порт каждого из них — магистраль (T) к коммутатору третьего уровня, второй — под сервер группы.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 рабочих места подключены к свободным портам 10/100/1000BASE-T — они совместимы с 100BASE-TX, это позволяет уложиться в заданную стоимость.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Стоимость: 3·55 + 1·45 = 210 у.е., что не превышает заданных 210 у.е.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Серверы размещены в центрах коммутации вместе с коммутаторами, к которым подключены: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File-server-main — SS3L12-01, порт 1,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DB-server-main — SS3L12-01, порт 2,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WG-1-server — SS2L24-02, порт 25, ЦК B;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WG-2-server — SS2L24-03, порт 25, ЦК B;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WG-3-server — SS2L24-01, порт 25,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WG-4-server — SS3L12-01, порт 3, ЦК A.</w:t>
      </w:r>
    </w:p>
    <w:p>
      <w:pPr>
        <w:pStyle w:val="Heading2"/>
      </w:pPr>
      <w:r>
        <w:t>Разработка сети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Порты рабочих мест и серверов работают в режиме U (untagged) и принадлежат VLAN своей группы; магистральные порты между коммутаторами работают в режиме T (tagged) и передают кадры всех VLAN с метками IEEE 802.1q.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50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50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4. Структура ЛВС с VLAN на интеллектуальных коммутаторах</w:t>
      </w:r>
    </w:p>
    <w:p>
      <w:pPr>
        <w:pStyle w:val="Heading2"/>
      </w:pPr>
      <w:r>
        <w:t>Документация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13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551"/>
        <w:gridCol w:w="2835"/>
        <w:gridCol w:w="2268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оборудования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оборудования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центра коммутации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SS12TG-L3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Все порты 1000BASE-T поддерживают автоматическое определение типа кабеля (Auto MDI/MDI-X), поэтому все соединения выполняются прямым кабелем (||).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14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 (VLAN10)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 (VLAN20)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 (VLAN30)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 (VLAN40)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Сервера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File-server-main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DB-server-main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WG-4-server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Адреса сетей имеют вид 1xx.1yy.zz.0/24, где xx = 12 — номер учебной группы, yy = 17 — номер студента в журнале, zz — номер VLAN. В каждой VLAN адрес .1 — интерфейс модуля маршрутизации (шлюз по умолчанию), .2 — сервер группы, далее — рабочие места; в VLAN50: .2 — общий сервер, .3 — сервер БД.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15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Распределение IP-адресов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72"/>
        <w:gridCol w:w="1120"/>
        <w:gridCol w:w="1848"/>
        <w:gridCol w:w="2241"/>
        <w:gridCol w:w="1904"/>
        <w:gridCol w:w="1568"/>
      </w:tblGrid>
      <w:tr>
        <w:trPr>
          <w:tblHeader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№ п/п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VLAN ID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сети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оборудования: пользователи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оборудования: серверы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модуля маршрутизации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112.117.10.3 – 112.117.10.24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112.117.20.3 – 112.117.20.19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112.117.30.3 – 112.117.30.22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112.117.40.3 – 112.117.40.17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1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4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112.117.50.0/24</w:t>
            </w:r>
          </w:p>
        </w:tc>
        <w:tc>
          <w:tcPr>
            <w:tcW w:type="dxa" w:w="22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–</w:t>
            </w:r>
          </w:p>
        </w:tc>
        <w:tc>
          <w:tcPr>
            <w:tcW w:type="dxa" w:w="19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112.117.50.2, 112.117.50.3</w:t>
            </w:r>
          </w:p>
        </w:tc>
        <w:tc>
          <w:tcPr>
            <w:tcW w:type="dxa" w:w="15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16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маршрутизации коммутатора 3-го уровня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928"/>
        <w:gridCol w:w="1928"/>
        <w:gridCol w:w="1871"/>
      </w:tblGrid>
      <w:tr>
        <w:trPr>
          <w:tblHeader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сети назначения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следующего маршрутизатора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Идентификатор порта модуля маршрутизации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порта модуля маршрутизации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</w:tbl>
    <w:p>
      <w:pPr>
        <w:spacing w:line="240" w:lineRule="auto"/>
        <w:ind w:firstLine="0"/>
      </w:pP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Москва 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</w:r>
    <w:r>
      <w:rPr>
        <w:rFonts w:ascii="Times New Roman" w:hAnsi="Times New Roman" w:eastAsia="Times New Roman" w:cs="Times New Roman"/>
        <w:color w:val="000000"/>
        <w:sz w:val="28"/>
      </w:rPr>
      <w:instrText xml:space="preserve">PAGE</w:instrText>
    </w:r>
    <w:r>
      <w:rPr>
        <w:rFonts w:ascii="Times New Roman" w:hAnsi="Times New Roman" w:eastAsia="Times New Roman" w:cs="Times New Roman"/>
        <w:color w:val="000000"/>
        <w:sz w:val="28"/>
      </w:rPr>
      <w:fldChar w:fldCharType="separate"/>
    </w:r>
    <w:r>
      <w:rPr>
        <w:rFonts w:ascii="Times New Roman" w:hAnsi="Times New Roman" w:eastAsia="Times New Roman" w:cs="Times New Roman"/>
        <w:color w:val="000000"/>
        <w:sz w:val="28"/>
      </w:rPr>
      <w:t>1</w:t>
    </w:r>
    <w:r>
      <w:rPr>
        <w:rFonts w:ascii="Times New Roman" w:hAnsi="Times New Roman" w:eastAsia="Times New Roman" w:cs="Times New Roman"/>
        <w:color w:val="000000"/>
        <w:sz w:val="2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Федеральное государственное бюджетное образовательное учреждение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высшего образования «Национальный исследовательский университет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«Московский энергетический институт»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Кафедра ВМСС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