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Расчетное задание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ОСНОВЫ ПОСТРОЕНИЯ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КОМПЬЮТЕРНЫХ СЕТЕЙ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по курсу «Компьютерные сети»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41" w:type="dxa"/>
        <w:tblLayout w:type="fixed"/>
      </w:tblPr>
      <w:tblGrid>
        <w:gridCol w:w="2324"/>
        <w:gridCol w:w="4989"/>
      </w:tblGrid>
      <w:tr>
        <w:tc>
          <w:tcPr>
            <w:tcW w:type="dxa" w:w="7313"/>
            <w:gridSpan w:val="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Выполнил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Студент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Рязанцев Иоанн Васильевич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Группа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А-12-23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Вариант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17</w:t>
            </w:r>
          </w:p>
        </w:tc>
      </w:tr>
    </w:tbl>
    <w:p>
      <w:pPr>
        <w:ind w:firstLin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41" w:type="dxa"/>
        <w:tblLayout w:type="fixed"/>
      </w:tblPr>
      <w:tblGrid>
        <w:gridCol w:w="2324"/>
        <w:gridCol w:w="4989"/>
      </w:tblGrid>
      <w:tr>
        <w:tc>
          <w:tcPr>
            <w:tcW w:type="dxa" w:w="7313"/>
            <w:gridSpan w:val="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Принял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Преподаватель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Рыбинцев В.О.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Дата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</w:r>
          </w:p>
        </w:tc>
      </w:tr>
    </w:tbl>
    <w:p>
      <w:pPr>
        <w:ind w:firstLine="0"/>
      </w:pPr>
      <w:r>
        <w:br w:type="page"/>
      </w:r>
    </w:p>
    <w:p>
      <w:pPr>
        <w:pStyle w:val="Heading1"/>
      </w:pPr>
      <w:r>
        <w:t>Задание 1</w:t>
        <w:br/>
        <w:t>Разработка структурированной кабельной системы этажа здания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разработки структурированной кабельной системы (СКС) этажа здания и оформления соответствующей эксплуатационной документации.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в соответствии с вариантом и конфигурацией зон подключения U-3 разработать СКС на витой паре категории 5е, удовлетворяющую исходным данным.</w:t>
      </w:r>
    </w:p>
    <w:p>
      <w:pPr>
        <w:pStyle w:val="Heading2"/>
      </w:pPr>
      <w:r>
        <w:t>Исходные данные для проектирования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Исходные данные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2551"/>
        <w:gridCol w:w="3402"/>
        <w:gridCol w:w="1984"/>
      </w:tblGrid>
      <w:tr>
        <w:trPr>
          <w:tblHeader w:val="true"/>
        </w:trPr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Вариант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Конфигурация зон подключения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Количество точек подключения в зонах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Размеры (L×W), м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U-3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18, 23, 14, 15, 16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110 × 70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Рис. 1. Конфигурация зон подключения U-3</w:t>
      </w:r>
    </w:p>
    <w:p>
      <w:pPr>
        <w:pStyle w:val="Heading2"/>
      </w:pPr>
      <w:r>
        <w:t>Выполнение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Из допустимых мест размещения (рис. 1) выбрано 2 центра коммутации — A, B. Места выбраны так, чтобы длина каждого статического соединения не превышала 90 м, а суммарная длина кабеля была минимальной. Масштаб плана: L = 110 м, W = 70 м.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A: зоны подключения 2, 3;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B: зоны подключения 1, 4, 5.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Точки подключения (розетки RJ45) равномерно распределены вдоль кабельных каналов, проложенных по внутренним границам зон подключения. Идентификатор розетки S-ZZ-NN: ZZ — номер зоны, NN — порядковый номер розетки в зоне. Каждый центр коммутации содержит коммутационные панели на 24 порта RJ45; идентификатор порта P-XNN-MM: X — центр коммутации, NN — номер панели, MM — номер порта.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2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Распределение точек подключения по зонам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2608"/>
        <w:gridCol w:w="737"/>
        <w:gridCol w:w="3572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Зона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Число розеток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Идентификаторы розеток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ЦК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Порты панелей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S-01-01 – S-01-18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 – P-B01-18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S-02-01 – S-02-23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 – P-A01-23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S-03-01 – S-03-14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 – P-A02-13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S-04-01 – S-04-15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 – P-B02-09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S-05-01 – S-05-16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 – P-B03-01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86</w:t>
            </w:r>
          </w:p>
        </w:tc>
        <w:tc>
          <w:tcPr>
            <w:tcW w:type="dxa" w:w="260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</w:tr>
    </w:tbl>
    <w:p>
      <w:pPr>
        <w:spacing w:line="240" w:lineRule="auto"/>
        <w:ind w:firstLine="0"/>
      </w:pP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коммутационных панелей: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A: 37 портов под розетки и 4 под соединения между ЦК — 2 коммутационные панели (A01, A02);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B: 49 портов под розетки и 4 под соединения между ЦК — 3 коммутационные панели (B01, B02, B03).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Статические соединения между центрами коммутации заложены под магистральные связи коммутаторов, расположенных в разных ЦК (задания 2 и 3).</w:t>
      </w:r>
    </w:p>
    <w:p>
      <w:pPr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8875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sks_r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887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Документация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Длина кабеля каждого статического соединения определена по плану (рис. 2) как длина трассы по кабельным каналам от розетки до центра коммутации с точностью до 1 м, увеличенная на 3 м на прокладку по вертикали. Наименьшая длина — 10 м, наибольшая — 81 м, что не превышает 90 м, допустимых для статического соединения на витой паре.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3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Статические соединения СКС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381"/>
        <w:gridCol w:w="238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Длина, м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центрами коммутации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S87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S88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S89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P-A02-16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P-B03-04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S90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</w:tbl>
    <w:p>
      <w:pPr>
        <w:spacing w:line="240" w:lineRule="auto"/>
        <w:ind w:firstLine="0"/>
      </w:pPr>
    </w:p>
    <w:p>
      <w:pPr>
        <w:ind w:firstLine="0"/>
      </w:pPr>
      <w:r>
        <w:br w:type="page"/>
      </w:r>
    </w:p>
    <w:p>
      <w:pPr>
        <w:pStyle w:val="Heading1"/>
      </w:pPr>
      <w:r>
        <w:t>Задание 2</w:t>
        <w:br/>
        <w:t>Разработка базовой локальной вычислительной сети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выбора состава комплекса технических средств и разработки отказоустойчивой структуры локальной вычислительной сети за счёт использования возможностей протокола покрывающего дерева (STP, стандарт IEEE 802.1d).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для СКС, разработанной в задании 1, на неинтеллектуальных коммутаторах разработать структуру и выбрать состав технических средств ЛВС отдела из четырёх рабочих групп (WG-1 – WG-4), у каждой из которых есть свой сервер; кроме того, есть общий сервер отдела и сервер базы данных отдела, доступ к которым нужен всем сотрудникам. Все интерфейсы — 100BASE-TX, единое адресное пространство 192.168.0.0/16. Отказ соединения между коммутаторами не должен приводить к потере доступа группы к общим серверам; число транзитных коммутаторов в штатном режиме — минимальное.</w:t>
      </w:r>
    </w:p>
    <w:p>
      <w:pPr>
        <w:pStyle w:val="Heading2"/>
      </w:pPr>
      <w:r>
        <w:t>Исходные данные для проектирования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4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Исходные данные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969"/>
        <w:gridCol w:w="3685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Вариант</w:t>
            </w:r>
          </w:p>
        </w:tc>
        <w:tc>
          <w:tcPr>
            <w:tcW w:type="dxa" w:w="3969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Количество сотрудников в группах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Рост числа сотрудников (в каждой группе), %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12-17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20, 15, 18, 13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5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Параметры учебного сетевого оборудования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5102"/>
        <w:gridCol w:w="1417"/>
      </w:tblGrid>
      <w:tr>
        <w:trPr>
          <w:tblHeader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Обозначение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Стоимость, у.е.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Коммутатор (Switch), 12 портов 10/100BASE-TX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Коммутатор (Switch), 24 порта 10/100BASE-TX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Выбор необходимого оборудования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сотрудников каждой группы увеличивается на 10 % с округлением вверх: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6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сотрудников рабочих групп с учётом роста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835"/>
      </w:tblGrid>
      <w:tr>
        <w:trPr>
          <w:tblHeader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Рабочая группа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Сотрудников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 учётом роста 10 %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</w:tr>
    </w:tbl>
    <w:p>
      <w:pPr>
        <w:spacing w:line="240" w:lineRule="auto"/>
        <w:ind w:firstLine="0"/>
      </w:pP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Сотрудники каждой группы размещены по возможности в одной зоне и в зонах одного центра коммутации — так группе достаточно коммутаторов в одном ЦК: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WG-1 (22 чел.): зона 3 (S-03-01 – S-03-07), зона 4 (S-04-01 – S-04-15);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WG-2 (17 чел.): зона 1 (S-01-01 – S-01-17);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WG-3 (20 чел.): зона 2 (S-02-01 – S-02-20);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WG-4 (15 чел.): зона 5 (S-05-01 – S-05-15);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Свободными (резервными) остаются 12 точек подключения.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каждом коммутаторе рабочей группы резервируются два порта: для подключения к корневому коммутатору отдела и для резервной связи с коммутатором другой группы; сервер группы подключается к коммутатору своей группы. Общий сервер и сервер БД подключены к корневому коммутатору, к которому напрямую подключены все коммутаторы групп — в штатном режиме трафик к общим серверам проходит не более чем через один транзитный коммутатор (корневой).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7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Подключение к сети сотрудников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1701"/>
        <w:gridCol w:w="4535"/>
        <w:gridCol w:w="1531"/>
      </w:tblGrid>
      <w:tr>
        <w:trPr>
          <w:tblHeader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Рабочая группа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Рабочих мест с учётом роста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Перечень оборудования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Стоимость, у.е.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 (S12TF, ЦК A), S24-03 (S24TF, ЦК B)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 (S24TF, ЦК B)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 (S24TF, ЦК A)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 (S24TF, ЦК B)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Общие серверы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 (S12TF, ЦК B) — корневой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 коммутаторов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110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Разработка сети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Идентификаторы коммутаторов (ID) назначены так, что наименьший ID = 1 имеет коммутатор S12-01; по алгоритму STP он становится корневым мостом, все его порты — назначенные (Н). У коммутаторов групп порт, ведущий к корневому, — корневой (К). На резервных связях между коммутаторами групп оба конца имеют одинаковую стоимость пути до корня, поэтому назначенным становится порт коммутатора с меньшим ID, а порт коммутатора с большим ID блокируется (Б). При обрыве связи коммутатора группы с корневым заблокированный порт переходит в рабочее состояние, и доступ к общим серверам сохраняется через соседний коммутатор.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Рабочие места подключены к портам коммутаторов групп (на рисунке не показаны, чтобы не загромождать схему):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S12-02: порты 1 – 7 — рабочие места WG-1;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S24-03: порты 1 – 15 — рабочие места WG-1;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S24-04: порты 1 – 17 — рабочие места WG-2;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S24-05: порты 1 – 20 — рабочие места WG-3;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S24-06: порты 1 – 15 — рабочие места WG-4.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350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35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Рис. 3. Структура ЛВС с активной конфигурацией и ролями портов STP</w:t>
      </w:r>
    </w:p>
    <w:p>
      <w:pPr>
        <w:pStyle w:val="Heading2"/>
      </w:pPr>
      <w:r>
        <w:t>Документация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8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Размещение оборудования по центрам коммутации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2551"/>
        <w:gridCol w:w="2835"/>
        <w:gridCol w:w="2268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оборудования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оборудования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центра коммутации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Серверы размещены в центрах коммутации рядом с коммутаторами, к которым подключены: File-server-main — ЦК B; DB-server-main — ЦК B; WG-1-server — ЦК B; WG-2-server — ЦК B; WG-3-server — ЦК A; WG-4-server — ЦК B.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Связи коммутаторов, находящихся в разных центрах коммутации, проходят через статические соединения между ЦК (задание 1); скрещённый кабель (X) ставится с одной стороны, чтобы соединение коммутатор — коммутатор в целом было скрещённым.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9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Динамические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255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кабеля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оборудованием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Сервера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File-server-main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D86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DB-server-main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S12-01-12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D87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S24-03-21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D88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D89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WG-4-server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</w:tbl>
    <w:p>
      <w:pPr>
        <w:spacing w:line="240" w:lineRule="auto"/>
        <w:ind w:firstLine="0"/>
      </w:pPr>
    </w:p>
    <w:p>
      <w:pPr>
        <w:ind w:firstLine="0"/>
      </w:pPr>
      <w:r>
        <w:br w:type="page"/>
      </w:r>
    </w:p>
    <w:p>
      <w:pPr>
        <w:pStyle w:val="Heading1"/>
      </w:pPr>
      <w:r>
        <w:t>Задание 3</w:t>
        <w:br/>
        <w:t>Разработка локальной вычислительной сети на интеллектуальных коммутаторах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выбора состава и разработки структуры комплекса технических средств локальной сети на коммутаторах, поддерживающих технологию виртуальных локальных сетей (VLAN) по стандарту IEEE 802.1q и статическую маршрутизацию.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на интеллектуальных коммутаторах (Smart Switch) построить ЛВС, в которой широковещательный трафик каждой рабочей группы изолирован от других групп, стоимостью не более 210 у.е.</w:t>
      </w:r>
    </w:p>
    <w:p>
      <w:pPr>
        <w:pStyle w:val="Heading2"/>
      </w:pPr>
      <w:r>
        <w:t>Исходные данные для проектирования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10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Исходные данные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3969"/>
      </w:tblGrid>
      <w:tr>
        <w:trPr>
          <w:tblHeader w:val="true"/>
        </w:trP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Вариант</w:t>
            </w:r>
          </w:p>
        </w:tc>
        <w:tc>
          <w:tcPr>
            <w:tcW w:type="dxa" w:w="3969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Максимальная стоимость, у.е.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12-17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210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11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Параметры учебного сетевого оборудования (SMART SWITCH)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5102"/>
        <w:gridCol w:w="1417"/>
      </w:tblGrid>
      <w:tr>
        <w:trPr>
          <w:tblHeader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Обозначение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Стоимость, у.е.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SS12TF-2TG-L2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Интеллектуальный коммутатор 2-го уровня: 12 портов 10/100BASE-TX, 2 порта 10/100/1000BASE-T, IEEE 802.1q (VLAN на основе портов)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Интеллектуальный коммутатор 2-го уровня: 24 порта 10/100BASE-TX, 2 порта 10/100/1000BASE-T, IEEE 802.1q (VLAN на основе портов)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SS12TG-L3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Интеллектуальный коммутатор 3-го уровня: 12 портов 10/100/1000BASE-T, IEEE 802.1q, статическая маршрутизация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Выбор необходимого оборудования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Каждой рабочей группе выделена своя VLAN на основе портов; общие серверы отдела вынесены в отдельную VLAN50. Маршрутизацию между VLAN выполняет модуль маршрутизации коммутатора третьего уровня. Рабочие места подключаются к портам 100BASE-TX, серверы — к портам 1000BASE-T.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12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Необходимое число портов по VLAN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1984"/>
        <w:gridCol w:w="1984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VLAN ID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Портов 100BASE-TX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Портов 1000BASE-T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VLAN10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VLAN20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VLAN30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VLAN40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VLAN50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Общие серверы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Коммутатор третьего уровня SS12TG-L3 (12 портов 1000BASE-T) обязателен — он маршрутизирует трафик между VLAN; к нему подключены общие серверы, магистрали от коммутаторов второго уровня и (в задании 4) два внешних маршрутизатора. Коммутаторы второго уровня выбраны по числу рабочих мест в каждом центре коммутации при минимальной стоимости; один гигабитный порт каждого из них — магистраль (T) к коммутатору третьего уровня, второй — под сервер группы.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 рабочих места подключены к свободным портам 10/100/1000BASE-T — они совместимы с 100BASE-TX, это позволяет уложиться в заданную стоимость.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Стоимость: 3·55 + 1·45 = 210 у.е., что не превышает заданных 210 у.е.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Серверы размещены в центрах коммутации вместе с коммутаторами, к которым подключены: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File-server-main — SS3L12-01, порт 1, ЦК A;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DB-server-main — SS3L12-01, порт 2, ЦК A;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WG-1-server — SS2L24-02, порт 25, ЦК B;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WG-2-server — SS2L24-03, порт 25, ЦК B;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WG-3-server — SS2L24-01, порт 25, ЦК A;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WG-4-server — SS3L12-01, порт 3, ЦК A.</w:t>
      </w:r>
    </w:p>
    <w:p>
      <w:pPr>
        <w:pStyle w:val="Heading2"/>
      </w:pPr>
      <w:r>
        <w:t>Разработка сети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Порты рабочих мест и серверов работают в режиме U (untagged) и принадлежат VLAN своей группы; магистральные порты между коммутаторами работают в режиме T (tagged) и передают кадры всех VLAN с метками IEEE 802.1q.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50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50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Рис. 4. Структура ЛВС с VLAN на интеллектуальных коммутаторах</w:t>
      </w:r>
    </w:p>
    <w:p>
      <w:pPr>
        <w:pStyle w:val="Heading2"/>
      </w:pPr>
      <w:r>
        <w:t>Документация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13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Размещение оборудования по центрам коммутации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2551"/>
        <w:gridCol w:w="2835"/>
        <w:gridCol w:w="2268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оборудования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оборудования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центра коммутации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SS12TG-L3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Все порты 1000BASE-T поддерживают автоматическое определение типа кабеля (Auto MDI/MDI-X), поэтому все соединения выполняются прямым кабелем (||).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14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Динамические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255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кабеля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WG-1 (VLAN10)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WG-2 (VLAN20)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WG-3 (VLAN30)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WG-4 (VLAN40)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оборудованием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Сервера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File-server-main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DB-server-main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D82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SS2L24-02-25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D83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SS2L24-03-25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D84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SS2L24-01-25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WG-4-server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Адреса сетей имеют вид 1xx.1yy.zz.0/24, где xx = 12 — номер учебной группы, yy = 17 — номер студента в журнале, zz — номер VLAN. В каждой VLAN адрес .1 — интерфейс модуля маршрутизации (шлюз по умолчанию), .2 — сервер группы, далее — рабочие места; в VLAN50: .2 — общий сервер, .3 — сервер БД.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15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Распределение IP-адресов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72"/>
        <w:gridCol w:w="1120"/>
        <w:gridCol w:w="1848"/>
        <w:gridCol w:w="2241"/>
        <w:gridCol w:w="1904"/>
        <w:gridCol w:w="1568"/>
      </w:tblGrid>
      <w:tr>
        <w:trPr>
          <w:tblHeader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№ п/п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VLAN ID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 сети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 оборудования: пользователи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 оборудования: серверы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модуля маршрутизации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VLAN10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112.117.10.3 – 112.117.10.24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VLAN20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112.117.20.3 – 112.117.20.19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VLAN30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112.117.30.3 – 112.117.30.22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VLAN40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112.117.40.3 – 112.117.40.17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11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VLAN50</w:t>
            </w:r>
          </w:p>
        </w:tc>
        <w:tc>
          <w:tcPr>
            <w:tcW w:type="dxa" w:w="184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112.117.50.0/24</w:t>
            </w:r>
          </w:p>
        </w:tc>
        <w:tc>
          <w:tcPr>
            <w:tcW w:type="dxa" w:w="22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–</w:t>
            </w:r>
          </w:p>
        </w:tc>
        <w:tc>
          <w:tcPr>
            <w:tcW w:type="dxa" w:w="190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112.117.50.2, 112.117.50.3</w:t>
            </w:r>
          </w:p>
        </w:tc>
        <w:tc>
          <w:tcPr>
            <w:tcW w:type="dxa" w:w="15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112.117.50.1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16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маршрутизации коммутатора 3-го уровня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928"/>
        <w:gridCol w:w="1928"/>
        <w:gridCol w:w="1871"/>
      </w:tblGrid>
      <w:tr>
        <w:trPr>
          <w:tblHeader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сети назначения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Маска сети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следующего маршрутизатора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Идентификатор порта модуля маршрутизации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порта модуля маршрутизации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VLAN10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VLAN20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VLAN30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VLAN40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VLAN50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112.117.50.1</w:t>
            </w:r>
          </w:p>
        </w:tc>
      </w:tr>
    </w:tbl>
    <w:p>
      <w:pPr>
        <w:spacing w:line="240" w:lineRule="auto"/>
        <w:ind w:firstLine="0"/>
      </w:pPr>
    </w:p>
    <w:p>
      <w:pPr>
        <w:ind w:firstLine="0"/>
      </w:pPr>
      <w:r>
        <w:br w:type="page"/>
      </w:r>
    </w:p>
    <w:p>
      <w:pPr>
        <w:pStyle w:val="Heading1"/>
      </w:pPr>
      <w:r>
        <w:t>Задание 4</w:t>
        <w:br/>
        <w:t>Организация отказоустойчивого подключения локальной сети к Internet со статической маршрутизацией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составления таблицы статической маршрутизации между VLAN с организацией отказоустойчивого подключения к сети Internet за счёт протокола VRRP при динамическом назначении IP-адресов пользователям.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для сети из задания 3 подключить два внешних маршрутизатора R-01 и R-02, образующих по протоколу VRRP виртуальный маршрутизатор (сеть 172.31.1.0/29), модифицировать таблицы IP-адресов и маршрутизации коммутатора 3-го уровня, задать параметры DHCP-серверов для VLAN.</w:t>
      </w:r>
    </w:p>
    <w:p>
      <w:pPr>
        <w:pStyle w:val="Heading2"/>
      </w:pPr>
      <w:r>
        <w:t>Выполнение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Маршрутизаторы R-01 и R-02 подключены к портам 8 и 9 коммутатора SS3L12-01, отнесённым к новой VLAN60. Маршрутизатор с большим приоритетом (R-01) — основной (Master), R-02 — резервный (Backup); при отказе R-01 R-02 принимает на себя IP- и MAC-адрес виртуального маршрутизатора.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17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Параметры протокола VRRP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2"/>
        <w:gridCol w:w="3402"/>
      </w:tblGrid>
      <w:tr>
        <w:trPr>
          <w:tblHeader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Идентификатор группы VRRP (VRID)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Приоритет R-01 (Master)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110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Приоритет R-02 (Backup)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100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IP-адрес R-01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172.31.1.2/29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IP-адрес R-02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172.31.1.3/29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IP-адрес виртуального маршрутизатора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172.31.1.1/29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MAC-адрес виртуального маршрутизатора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00-00-5E-00-01-11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IP-адрес модуля маршрутизации в VLAN60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172.31.1.6/29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MAC-адрес виртуального маршрутизатора по стандарту VRRP — 00-00-5E-00-01-XX, где XX — VRID в шестнадцатеричном виде (17 = 11h).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832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83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Рис. 5. Структура ЛВС с внешними маршрутизаторами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18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Динамические соединения (дополнение к таблице задания 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255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кабеля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Подключение маршрутизаторов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D86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SS3L12-01-08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R-01-01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R-02-01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Первый адрес каждой VLAN — шлюз по умолчанию: виртуальный интерфейс модуля маршрутизации коммутатора третьего уровня, настраивается на самом коммутаторе. Статические IP-адреса серверов задаются на серверах. В VLAN50 все адреса статические; в VLAN60 DHCP не используется — у маршрутизаторов и модуля маршрутизации статические адреса.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19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Распределение IP-адресов (с учётом R-01, R-02)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72"/>
        <w:gridCol w:w="1120"/>
        <w:gridCol w:w="1848"/>
        <w:gridCol w:w="2241"/>
        <w:gridCol w:w="1904"/>
        <w:gridCol w:w="1568"/>
      </w:tblGrid>
      <w:tr>
        <w:trPr>
          <w:tblHeader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№ п/п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VLAN ID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 сети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 оборудования: пользователи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 оборудования: серверы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модуля маршрутизации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VLAN10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112.117.10.3 – 112.117.10.24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VLAN20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112.117.20.3 – 112.117.20.19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VLAN30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112.117.30.3 – 112.117.30.22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VLAN40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112.117.40.3 – 112.117.40.17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VLAN50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–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112.117.50.2, 112.117.50.3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11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VLAN60</w:t>
            </w:r>
          </w:p>
        </w:tc>
        <w:tc>
          <w:tcPr>
            <w:tcW w:type="dxa" w:w="184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172.31.1.0/29</w:t>
            </w:r>
          </w:p>
        </w:tc>
        <w:tc>
          <w:tcPr>
            <w:tcW w:type="dxa" w:w="22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–</w:t>
            </w:r>
          </w:p>
        </w:tc>
        <w:tc>
          <w:tcPr>
            <w:tcW w:type="dxa" w:w="190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R-01: 172.31.1.2, R-02: 172.31.1.3, виртуальный: 172.31.1.1</w:t>
            </w:r>
          </w:p>
        </w:tc>
        <w:tc>
          <w:tcPr>
            <w:tcW w:type="dxa" w:w="15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172.31.1.6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Маршрут по умолчанию (0.0.0.0/0) направляет трафик в Internet на адрес виртуального маршрутизатора — так он не зависит от того, какой из R-01 и R-02 сейчас основной.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20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маршрутизации коммутатора 3-го уровня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928"/>
        <w:gridCol w:w="1928"/>
        <w:gridCol w:w="1871"/>
      </w:tblGrid>
      <w:tr>
        <w:trPr>
          <w:tblHeader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сети назначения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Маска сети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следующего маршрутизатора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Идентификатор порта модуля маршрутизации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порта модуля маршрутизации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VLAN10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VLAN20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VLAN30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VLAN40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VLAN50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255.255.255.248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VLAN60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172.31.1.6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0.0.0.0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0.0.0.0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VLAN60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172.31.1.6</w:t>
            </w:r>
          </w:p>
        </w:tc>
      </w:tr>
    </w:tbl>
    <w:p>
      <w:pPr>
        <w:spacing w:line="240" w:lineRule="auto"/>
        <w:ind w:firstLine="0"/>
      </w:pP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Пользователям каждой VLAN рабочих групп адреса выдаются динамически из диапазона, начиная с .3 (адреса .1 и .2 заняты шлюзом и сервером группы). Для VLAN50 и VLAN60 DHCP не нужен — адреса статические. В качестве DNS-сервера указан адрес виртуального маршрутизатора.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21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Параметры DHCP-серверов для VLAN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3061"/>
        <w:gridCol w:w="1814"/>
        <w:gridCol w:w="1871"/>
        <w:gridCol w:w="1814"/>
      </w:tblGrid>
      <w:tr>
        <w:trPr>
          <w:tblHeader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VLAN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Диапазон IP-адресов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Маска сети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маршрутизатора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сервера DNS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112.117.10.3 – 112.117.10.24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112.117.10.1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20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112.117.20.3 – 112.117.20.19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112.117.20.1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30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112.117.30.3 – 112.117.30.22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112.117.30.1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40</w:t>
            </w:r>
          </w:p>
        </w:tc>
        <w:tc>
          <w:tcPr>
            <w:tcW w:type="dxa" w:w="30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112.117.40.3 – 112.117.40.17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112.117.40.1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</w:tr>
    </w:tbl>
    <w:p>
      <w:pPr>
        <w:spacing w:line="240" w:lineRule="auto"/>
        <w:ind w:firstLine="0"/>
      </w:pPr>
    </w:p>
    <w:sectPr w:rsidR="00FC693F" w:rsidRPr="0006063C" w:rsidSect="00034616">
      <w:headerReference w:type="first" r:id="rId9"/>
      <w:footerReference w:type="first" r:id="rId10"/>
      <w:footerReference w:type="default" r:id="rId11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Москва 2026 г.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color w:val="000000"/>
        <w:sz w:val="28"/>
      </w:rPr>
      <w:fldChar w:fldCharType="begin"/>
    </w:r>
    <w:r>
      <w:rPr>
        <w:rFonts w:ascii="Times New Roman" w:hAnsi="Times New Roman" w:eastAsia="Times New Roman" w:cs="Times New Roman"/>
        <w:color w:val="000000"/>
        <w:sz w:val="28"/>
      </w:rPr>
      <w:instrText xml:space="preserve">PAGE</w:instrText>
    </w:r>
    <w:r>
      <w:rPr>
        <w:rFonts w:ascii="Times New Roman" w:hAnsi="Times New Roman" w:eastAsia="Times New Roman" w:cs="Times New Roman"/>
        <w:color w:val="000000"/>
        <w:sz w:val="28"/>
      </w:rPr>
      <w:fldChar w:fldCharType="separate"/>
    </w:r>
    <w:r>
      <w:rPr>
        <w:rFonts w:ascii="Times New Roman" w:hAnsi="Times New Roman" w:eastAsia="Times New Roman" w:cs="Times New Roman"/>
        <w:color w:val="000000"/>
        <w:sz w:val="28"/>
      </w:rPr>
      <w:t>1</w:t>
    </w:r>
    <w:r>
      <w:rPr>
        <w:rFonts w:ascii="Times New Roman" w:hAnsi="Times New Roman" w:eastAsia="Times New Roman" w:cs="Times New Roman"/>
        <w:color w:val="000000"/>
        <w:sz w:val="2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Федеральное государственное бюджетное образовательное учреждение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высшего образования «Национальный исследовательский университет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«Московский энергетический институт»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Кафедра ВМСС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i w:val="0"/>
      <w:caps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