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«Национальный исследовательский университет «МЭИ»</w:t>
      </w:r>
    </w:p>
    <w:p>
      <w:pPr>
        <w:ind w:firstLine="0"/>
        <w:jc w:val="center"/>
      </w:pP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Институт информационных и вычислительных технологий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Кафедра вычислительных машин, систем и сетей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ОТЧЁТ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 выполнении задания 1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 курсу «Компьютерные сети»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«Основы построения компьютерных сетей»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Вариант 12-17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 w:left="453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Выполнил:</w:t>
      </w:r>
    </w:p>
    <w:p>
      <w:pPr>
        <w:ind w:firstLine="0" w:left="453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студент группы А-12-23</w:t>
      </w:r>
    </w:p>
    <w:p>
      <w:pPr>
        <w:ind w:firstLine="0" w:left="453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Рязанцев Иоанн Васильевич</w:t>
      </w:r>
    </w:p>
    <w:p>
      <w:pPr>
        <w:ind w:firstLine="0" w:left="4535"/>
        <w:jc w:val="left"/>
      </w:pPr>
    </w:p>
    <w:p>
      <w:pPr>
        <w:ind w:firstLine="0" w:left="453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Проверил: Рыбинцев В.О.</w:t>
      </w:r>
    </w:p>
    <w:p>
      <w:pPr>
        <w:ind w:firstLine="0" w:left="4535"/>
        <w:jc w:val="left"/>
      </w:pPr>
    </w:p>
    <w:p>
      <w:pPr>
        <w:ind w:firstLine="0" w:left="453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Дата сдачи: ______________</w:t>
      </w:r>
    </w:p>
    <w:p>
      <w:pPr>
        <w:ind w:firstLine="0"/>
      </w:pPr>
      <w:r>
        <w:br w:type="page"/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СОДЕРЖАНИЕ</w:t>
      </w:r>
    </w:p>
    <w:p>
      <w:pPr>
        <w:ind w:firstLine="0"/>
      </w:pPr>
      <w:r>
        <w:rPr>
          <w:rFonts w:ascii="Times New Roman" w:hAnsi="Times New Roman" w:eastAsia="Times New Roman" w:cs="Times New Roman"/>
          <w:color w:val="000000"/>
          <w:sz w:val="28"/>
        </w:rPr>
        <w:fldChar w:fldCharType="begin"/>
      </w:r>
      <w:r>
        <w:rPr>
          <w:rFonts w:ascii="Times New Roman" w:hAnsi="Times New Roman" w:eastAsia="Times New Roman" w:cs="Times New Roman"/>
          <w:color w:val="000000"/>
          <w:sz w:val="28"/>
        </w:rPr>
        <w:instrText xml:space="preserve">TOC \o "1-2" \h \z \u</w:instrText>
      </w:r>
      <w:r>
        <w:rPr>
          <w:rFonts w:ascii="Times New Roman" w:hAnsi="Times New Roman" w:eastAsia="Times New Roman" w:cs="Times New Roman"/>
          <w:color w:val="000000"/>
          <w:sz w:val="28"/>
        </w:rPr>
        <w:fldChar w:fldCharType="separate"/>
      </w:r>
      <w:r>
        <w:rPr>
          <w:rFonts w:ascii="Times New Roman" w:hAnsi="Times New Roman" w:eastAsia="Times New Roman" w:cs="Times New Roman"/>
          <w:color w:val="000000"/>
          <w:sz w:val="28"/>
        </w:rPr>
        <w:t>Содержание обновится при открытии файла (F9 — обновить поле).</w:t>
      </w:r>
      <w:r>
        <w:rPr>
          <w:rFonts w:ascii="Times New Roman" w:hAnsi="Times New Roman" w:eastAsia="Times New Roman" w:cs="Times New Roman"/>
          <w:color w:val="000000"/>
          <w:sz w:val="28"/>
        </w:rPr>
        <w:fldChar w:fldCharType="end"/>
      </w:r>
    </w:p>
    <w:p>
      <w:pPr>
        <w:ind w:firstLine="0"/>
      </w:pPr>
      <w:r>
        <w:br w:type="page"/>
      </w:r>
    </w:p>
    <w:p>
      <w:pPr>
        <w:pStyle w:val="Heading1"/>
      </w:pPr>
      <w:r>
        <w:t>1 Разработка структурированной кабельной системы этажа здания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разработки структурированной кабельной системы (СКС) этажа здания и оформления соответствующей эксплуатационной документации.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в соответствии с вариантом и конфигурацией зон подключения U-3 разработать СКС на витой паре категории 5е, удовлетворяющую исходным данным.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 – Исходные данные варианта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20"/>
        <w:gridCol w:w="1417"/>
        <w:gridCol w:w="1644"/>
        <w:gridCol w:w="1531"/>
        <w:gridCol w:w="1191"/>
        <w:gridCol w:w="1417"/>
        <w:gridCol w:w="1134"/>
      </w:tblGrid>
      <w:tr>
        <w:trPr>
          <w:tblHeader w:val="true"/>
        </w:trPr>
        <w:tc>
          <w:tcPr>
            <w:tcW w:type="dxa" w:w="102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Вариант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Конфигурация зон подключения</w:t>
            </w:r>
          </w:p>
        </w:tc>
        <w:tc>
          <w:tcPr>
            <w:tcW w:type="dxa" w:w="164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Количество точек подключения в зонах</w:t>
            </w:r>
          </w:p>
        </w:tc>
        <w:tc>
          <w:tcPr>
            <w:tcW w:type="dxa" w:w="153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Количество сотрудников в группах</w:t>
            </w:r>
          </w:p>
        </w:tc>
        <w:tc>
          <w:tcPr>
            <w:tcW w:type="dxa" w:w="119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Рост числа сотрудников, %</w:t>
            </w:r>
          </w:p>
        </w:tc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Максимальная стоимость для задания № 3, у.е.</w:t>
            </w:r>
          </w:p>
        </w:tc>
        <w:tc>
          <w:tcPr>
            <w:tcW w:type="dxa" w:w="113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0"/>
              </w:rPr>
              <w:t>Размеры (L×W), м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12-17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U-3</w:t>
            </w:r>
          </w:p>
        </w:tc>
        <w:tc>
          <w:tcPr>
            <w:tcW w:type="dxa" w:w="164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18, 23, 14, 15, 16</w:t>
            </w:r>
          </w:p>
        </w:tc>
        <w:tc>
          <w:tcPr>
            <w:tcW w:type="dxa" w:w="153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20, 15, 18, 13</w:t>
            </w:r>
          </w:p>
        </w:tc>
        <w:tc>
          <w:tcPr>
            <w:tcW w:type="dxa" w:w="119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10</w:t>
            </w:r>
          </w:p>
        </w:tc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210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110 × 70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_zon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1 – Конфигурация зон подключения U-3</w:t>
      </w:r>
    </w:p>
    <w:p>
      <w:pPr>
        <w:pStyle w:val="Heading2"/>
      </w:pPr>
      <w:r>
        <w:t>1.1 Выбор центров коммутации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Из допустимых мест размещения (рисунок 1) выбрано 2 центра коммутации — A, B. Места выбраны так, чтобы длина каждого статического соединения не превышала 90 м, а суммарная длина кабеля была минимальной. Масштаб плана: L = 110 м, W = 70 м.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A: зоны подключения 2, 3;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B: зоны подключения 1, 4, 5.</w:t>
      </w:r>
    </w:p>
    <w:p>
      <w:pPr>
        <w:pStyle w:val="Heading2"/>
      </w:pPr>
      <w:r>
        <w:t>1.2 Точки подключения и коммутационные панели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Точки подключения (розетки RJ45) равномерно распределены вдоль кабельных каналов, проложенных по внутренним границам зон подключения. Идентификатор розетки S-ZZ-NN: ZZ — номер зоны, NN — порядковый номер розетки в зоне. Каждый центр коммутации содержит коммутационные панели на 24 порта RJ45; идентификатор порта P-XNN-MM: X — центр коммутации, NN — номер панели, MM — номер порта.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2 – Распределение точек подключения по зонам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304"/>
        <w:gridCol w:w="2608"/>
        <w:gridCol w:w="737"/>
        <w:gridCol w:w="3572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Зона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Число розеток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Идентификаторы розеток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ЦК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Порты панелей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S-01-01 – S-01-18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 – P-B01-18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S-02-01 – S-02-23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 – P-A01-23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S-03-01 – S-03-14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 – P-A02-13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S-04-01 – S-04-15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 – P-B02-09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S-05-01 – S-05-16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 – P-B03-01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0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86</w:t>
            </w:r>
          </w:p>
        </w:tc>
        <w:tc>
          <w:tcPr>
            <w:tcW w:type="dxa" w:w="260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</w:tr>
    </w:tbl>
    <w:p>
      <w:pPr>
        <w:spacing w:line="240" w:lineRule="auto"/>
        <w:ind w:firstLine="0"/>
      </w:pP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коммутационных панелей: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A: 37 портов под розетки и 2 под соединения между ЦК — 2 панели (A01, A02);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B: 49 портов под розетки и 2 под соединения между ЦК — 3 панели (B01, B02, B03).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Статические соединения между центрами коммутации заложены под магистральные связи коммутаторов, расположенных в разных ЦК (задания 2 и 3).</w:t>
      </w:r>
    </w:p>
    <w:p>
      <w:pPr>
        <w:sectPr>
          <w:footerReference w:type="first" r:id="rId9"/>
          <w:footerReference w:type="default" r:id="rId10"/>
          <w:pgSz w:w="11906" w:h="16838"/>
          <w:pgMar w:top="1134" w:right="850" w:bottom="1134" w:left="1701" w:header="720" w:footer="720" w:gutter="0"/>
          <w:cols w:space="720"/>
          <w:titlePg/>
          <w:docGrid w:linePitch="360"/>
        </w:sectPr>
      </w:pP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417894" cy="521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_sk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17894" cy="52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2 – План этажа с центрами коммутации, точками подключения и кабельными каналами</w:t>
      </w:r>
    </w:p>
    <w:p>
      <w:pPr>
        <w:sectPr>
          <w:pgSz w:w="16838" w:h="11906" w:orient="landscape"/>
          <w:pgMar w:top="1701" w:right="1134" w:bottom="850" w:left="1134" w:header="720" w:footer="720" w:gutter="0"/>
          <w:cols w:space="720"/>
          <w:docGrid w:linePitch="360"/>
        </w:sectPr>
      </w:pPr>
    </w:p>
    <w:p>
      <w:pPr>
        <w:pStyle w:val="Heading2"/>
      </w:pPr>
      <w:r>
        <w:t>1.3 Таблица статических соединений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Длина кабеля каждого статического соединения определена по плану (рисунок 2) как длина трассы по кабельным каналам от розетки до центра коммутации с точностью до 1 м, увеличенная на 3 м на прокладку по вертикали. Наименьшая длина — 10 м, наибольшая — 81 м, что не превышает 90 м, допустимых для статического соединения на витой паре.</w:t>
      </w:r>
    </w:p>
    <w:p>
      <w:pPr>
        <w:keepNext/>
        <w:spacing w:before="12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3 – Статические соединения СКС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381"/>
        <w:gridCol w:w="238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Длина, м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между центрами коммутации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</w:tbl>
    <w:p>
      <w:pPr>
        <w:spacing w:line="240" w:lineRule="auto"/>
        <w:ind w:firstLine="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Москва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color w:val="000000"/>
        <w:sz w:val="28"/>
      </w:rPr>
      <w:fldChar w:fldCharType="begin"/>
    </w:r>
    <w:r>
      <w:rPr>
        <w:rFonts w:ascii="Times New Roman" w:hAnsi="Times New Roman" w:eastAsia="Times New Roman" w:cs="Times New Roman"/>
        <w:color w:val="000000"/>
        <w:sz w:val="28"/>
      </w:rPr>
      <w:instrText xml:space="preserve">PAGE</w:instrText>
    </w:r>
    <w:r>
      <w:rPr>
        <w:rFonts w:ascii="Times New Roman" w:hAnsi="Times New Roman" w:eastAsia="Times New Roman" w:cs="Times New Roman"/>
        <w:color w:val="000000"/>
        <w:sz w:val="28"/>
      </w:rPr>
      <w:fldChar w:fldCharType="separate"/>
    </w:r>
    <w:r>
      <w:rPr>
        <w:rFonts w:ascii="Times New Roman" w:hAnsi="Times New Roman" w:eastAsia="Times New Roman" w:cs="Times New Roman"/>
        <w:color w:val="000000"/>
        <w:sz w:val="28"/>
      </w:rPr>
      <w:t>1</w:t>
    </w:r>
    <w:r>
      <w:rPr>
        <w:rFonts w:ascii="Times New Roman" w:hAnsi="Times New Roman" w:eastAsia="Times New Roman" w:cs="Times New Roman"/>
        <w:color w:val="000000"/>
        <w:sz w:val="2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