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«Национальный исследовательский университет «МЭИ»</w:t>
      </w:r>
    </w:p>
    <w:p>
      <w:pPr>
        <w:ind w:firstLine="0"/>
        <w:jc w:val="center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Институт информационных и вычислительных технологий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Кафедра вычислительных машин, систем и сетей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32"/>
        </w:rPr>
        <w:t>ОТЧЁТ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о выполнении заданий 1, 2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по курсу «Компьютерные сети»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«Основы построения компьютерных сетей»</w:t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Вариант 12-17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Выполнил:</w:t>
      </w: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студент группы А-12-23</w:t>
      </w: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Рязанцев Иоанн Васильевич</w:t>
      </w:r>
    </w:p>
    <w:p>
      <w:pPr>
        <w:ind w:firstLine="0" w:left="4535"/>
        <w:jc w:val="left"/>
      </w:pP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Проверил: Рыбинцев В.О.</w:t>
      </w:r>
    </w:p>
    <w:p>
      <w:pPr>
        <w:ind w:firstLine="0" w:left="4535"/>
        <w:jc w:val="left"/>
      </w:pPr>
    </w:p>
    <w:p>
      <w:pPr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Дата сдачи: ______________</w:t>
      </w:r>
    </w:p>
    <w:p>
      <w:pPr>
        <w:ind w:firstLine="0"/>
      </w:pPr>
      <w:r>
        <w:br w:type="page"/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СОДЕРЖАНИЕ</w:t>
      </w:r>
    </w:p>
    <w:p>
      <w:pPr>
        <w:ind w:firstLine="0"/>
      </w:pPr>
      <w:r>
        <w:rPr>
          <w:rFonts w:ascii="Times New Roman" w:hAnsi="Times New Roman" w:eastAsia="Times New Roman" w:cs="Times New Roman"/>
          <w:color w:val="000000"/>
          <w:sz w:val="28"/>
        </w:rPr>
        <w:fldChar w:fldCharType="begin"/>
      </w:r>
      <w:r>
        <w:rPr>
          <w:rFonts w:ascii="Times New Roman" w:hAnsi="Times New Roman" w:eastAsia="Times New Roman" w:cs="Times New Roman"/>
          <w:color w:val="000000"/>
          <w:sz w:val="28"/>
        </w:rPr>
        <w:instrText xml:space="preserve">TOC \o "1-2" \h \z \u</w:instrText>
      </w:r>
      <w:r>
        <w:rPr>
          <w:rFonts w:ascii="Times New Roman" w:hAnsi="Times New Roman" w:eastAsia="Times New Roman" w:cs="Times New Roman"/>
          <w:color w:val="000000"/>
          <w:sz w:val="28"/>
        </w:rPr>
        <w:fldChar w:fldCharType="separate"/>
      </w:r>
      <w:r>
        <w:rPr>
          <w:rFonts w:ascii="Times New Roman" w:hAnsi="Times New Roman" w:eastAsia="Times New Roman" w:cs="Times New Roman"/>
          <w:color w:val="000000"/>
          <w:sz w:val="28"/>
        </w:rPr>
        <w:t>Содержание обновится при открытии файла (F9 — обновить поле).</w:t>
      </w:r>
      <w:r>
        <w:rPr>
          <w:rFonts w:ascii="Times New Roman" w:hAnsi="Times New Roman" w:eastAsia="Times New Roman" w:cs="Times New Roman"/>
          <w:color w:val="000000"/>
          <w:sz w:val="28"/>
        </w:rPr>
        <w:fldChar w:fldCharType="end"/>
      </w:r>
    </w:p>
    <w:p>
      <w:pPr>
        <w:ind w:firstLine="0"/>
      </w:pPr>
      <w:r>
        <w:br w:type="page"/>
      </w:r>
    </w:p>
    <w:p>
      <w:pPr>
        <w:pStyle w:val="Heading1"/>
      </w:pPr>
      <w:r>
        <w:t>1 Разработка структурированной кабельной системы этажа здания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разработки структурированной кабельной системы (СКС) этажа здания и оформления соответствующей эксплуатационной документации.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в соответствии с вариантом и конфигурацией зон подключения U-3 разработать СКС на витой паре категории 5е, удовлетворяющую исходным данным.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1 – Исходные данные варианта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020"/>
        <w:gridCol w:w="1417"/>
        <w:gridCol w:w="1644"/>
        <w:gridCol w:w="1531"/>
        <w:gridCol w:w="1191"/>
        <w:gridCol w:w="1417"/>
        <w:gridCol w:w="1134"/>
      </w:tblGrid>
      <w:tr>
        <w:trPr>
          <w:tblHeader w:val="true"/>
        </w:trPr>
        <w:tc>
          <w:tcPr>
            <w:tcW w:type="dxa" w:w="102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Вариант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Конфигурация зон подключения</w:t>
            </w:r>
          </w:p>
        </w:tc>
        <w:tc>
          <w:tcPr>
            <w:tcW w:type="dxa" w:w="164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Количество точек подключения в зонах</w:t>
            </w:r>
          </w:p>
        </w:tc>
        <w:tc>
          <w:tcPr>
            <w:tcW w:type="dxa" w:w="153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Количество сотрудников в группах</w:t>
            </w:r>
          </w:p>
        </w:tc>
        <w:tc>
          <w:tcPr>
            <w:tcW w:type="dxa" w:w="119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Рост числа сотрудников, %</w:t>
            </w:r>
          </w:p>
        </w:tc>
        <w:tc>
          <w:tcPr>
            <w:tcW w:type="dxa" w:w="141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Максимальная стоимость для задания № 3, у.е.</w:t>
            </w:r>
          </w:p>
        </w:tc>
        <w:tc>
          <w:tcPr>
            <w:tcW w:type="dxa" w:w="113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0"/>
              </w:rPr>
              <w:t>Размеры (L×W), м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12-17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U-3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18, 23, 14, 15, 16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20, 15, 18, 13</w:t>
            </w:r>
          </w:p>
        </w:tc>
        <w:tc>
          <w:tcPr>
            <w:tcW w:type="dxa" w:w="119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141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210</w:t>
            </w:r>
          </w:p>
        </w:tc>
        <w:tc>
          <w:tcPr>
            <w:tcW w:type="dxa" w:w="113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2"/>
              </w:rPr>
              <w:t>110 × 70</w:t>
            </w:r>
          </w:p>
        </w:tc>
      </w:tr>
    </w:tbl>
    <w:p>
      <w:pPr>
        <w:spacing w:line="240" w:lineRule="auto"/>
        <w:ind w:firstLine="0"/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z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1 – Конфигурация зон подключения U-3</w:t>
      </w:r>
    </w:p>
    <w:p>
      <w:pPr>
        <w:pStyle w:val="Heading2"/>
      </w:pPr>
      <w:r>
        <w:t>1.1 Выбор центров коммутации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Из допустимых мест размещения (рисунок 1) выбрано 2 центра коммутации — A, B. Места выбраны так, чтобы длина каждого статического соединения не превышала 90 м, а суммарная длина кабеля была минимальной. Масштаб плана: L = 110 м, W = 70 м.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зоны подключения 2, 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зоны подключения 1, 4, 5.</w:t>
      </w:r>
    </w:p>
    <w:p>
      <w:pPr>
        <w:pStyle w:val="Heading2"/>
      </w:pPr>
      <w:r>
        <w:t>1.2 Точки подключения и коммутационные панели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Точки подключения (розетки RJ45) равномерно распределены вдоль кабельных каналов, проложенных по внутренним границам зон подключения. Идентификатор розетки S-ZZ-NN: ZZ — номер зоны, NN — порядковый номер розетки в зоне. Каждый центр коммутации содержит коммутационные панели на 24 порта RJ45; идентификатор порта P-XNN-MM: X — центр коммутации, NN — номер панели, MM — номер порта.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2 – Распределение точек подключения по зонам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1304"/>
        <w:gridCol w:w="2608"/>
        <w:gridCol w:w="737"/>
        <w:gridCol w:w="3572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Зона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Число розеток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Идентификаторы розеток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ЦК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Порты панелей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 – S-01-18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 – P-B01-18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 – S-02-23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 – P-A01-23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 – S-03-14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 – P-A02-13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 – S-04-15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 – P-B02-09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1304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260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 – S-05-16</w:t>
            </w:r>
          </w:p>
        </w:tc>
        <w:tc>
          <w:tcPr>
            <w:tcW w:type="dxa" w:w="737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3572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 – P-B03-01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30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260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737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  <w:tc>
          <w:tcPr>
            <w:tcW w:type="dxa" w:w="357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line="240" w:lineRule="auto"/>
        <w:ind w:firstLine="0"/>
      </w:pP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коммутационных панелей: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A: 37 портов под розетки и 2 под соединения между ЦК — 2 панели (A01, A02);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ЦК B: 49 портов под розетки и 2 под соединения между ЦК — 3 панели (B01, B02, B03).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Статические соединения между центрами коммутации заложены под магистральные связи коммутаторов, расположенных в разных ЦК (задания 2 и 3).</w:t>
      </w:r>
    </w:p>
    <w:p>
      <w:pPr>
        <w:sectPr>
          <w:footerReference w:type="first" r:id="rId9"/>
          <w:footerReference w:type="default" r:id="rId10"/>
          <w:pgSz w:w="11906" w:h="16838"/>
          <w:pgMar w:top="1134" w:right="850" w:bottom="1134" w:left="1701" w:header="720" w:footer="720" w:gutter="0"/>
          <w:cols w:space="720"/>
          <w:titlePg/>
          <w:docGrid w:linePitch="360"/>
        </w:sectPr>
      </w:pP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17894" cy="521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_sk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17894" cy="521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2 – План этажа с центрами коммутации, точками подключения и кабельными каналами</w:t>
      </w:r>
    </w:p>
    <w:p>
      <w:pPr>
        <w:sectPr>
          <w:pgSz w:w="16838" w:h="11906" w:orient="landscape"/>
          <w:pgMar w:top="1701" w:right="1134" w:bottom="850" w:left="1134" w:header="720" w:footer="720" w:gutter="0"/>
          <w:cols w:space="720"/>
          <w:docGrid w:linePitch="360"/>
        </w:sectPr>
      </w:pPr>
    </w:p>
    <w:p>
      <w:pPr>
        <w:pStyle w:val="Heading2"/>
      </w:pPr>
      <w:r>
        <w:t>1.3 Таблица статических соединений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Длина кабеля каждого статического соединения определена по плану (рисунок 2) как длина трассы по кабельным каналам от розетки до центра коммутации с точностью до 1 м, увеличенная на 3 м на прокладку по вертикали. Наименьшая длина — 10 м, наибольшая — 81 м, что не превышает 90 м, допустимых для статического соединения на витой паре.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3 – Статические соединения СКС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381"/>
        <w:gridCol w:w="238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Длина, м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S-01-18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S-02-19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S39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S-02-23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S49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S-03-14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S59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38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S69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S-04-15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зоны подключения 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76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S79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S-05-09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65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S-05-10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S-05-11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S-05-12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S-05-13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37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S-05-16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центрами коммутации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S87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S88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238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</w:tbl>
    <w:p>
      <w:pPr>
        <w:spacing w:line="240" w:lineRule="auto"/>
        <w:ind w:firstLine="0"/>
      </w:pPr>
    </w:p>
    <w:p>
      <w:pPr>
        <w:ind w:firstLine="0"/>
      </w:pPr>
      <w:r>
        <w:br w:type="page"/>
      </w:r>
    </w:p>
    <w:p>
      <w:pPr>
        <w:pStyle w:val="Heading1"/>
      </w:pPr>
      <w:r>
        <w:t>2 Разработка базовой локальной вычислительной сети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Цель задания: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формирование навыков выбора состава комплекса технических средств и разработки отказоустойчивой структуры локальной вычислительной сети за счёт использования возможностей протокола покрывающего дерева (STP, стандарт IEEE 802.1d).</w:t>
      </w:r>
    </w:p>
    <w:p>
      <w:r>
        <w:rPr>
          <w:rFonts w:ascii="Times New Roman" w:hAnsi="Times New Roman" w:eastAsia="Times New Roman" w:cs="Times New Roman"/>
          <w:b/>
          <w:i w:val="0"/>
          <w:color w:val="000000"/>
          <w:sz w:val="28"/>
        </w:rPr>
        <w:t>Задание:</w:t>
      </w: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 xml:space="preserve"> для СКС, разработанной в задании 1, на неинтеллектуальных коммутаторах разработать структуру и выбрать состав технических средств ЛВС отдела из четырёх рабочих групп (WG-1 – WG-4), у каждой из которых есть свой сервер; кроме того, есть общий сервер отдела и сервер базы данных отдела, доступ к которым нужен всем сотрудникам. Все интерфейсы — 100BASE-TX, единое адресное пространство 192.168.0.0/16. Отказ соединения между коммутаторами не должен приводить к потере доступа группы к общим серверам; число транзитных коммутаторов в штатном режиме — минимальное.</w:t>
      </w:r>
    </w:p>
    <w:p>
      <w:pPr>
        <w:pStyle w:val="Heading2"/>
      </w:pPr>
      <w:r>
        <w:t>2.1 Расчёт числа рабочих мест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Число сотрудников каждой группы увеличивается на 10 % с округлением вверх: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4 – Число сотрудников рабочих групп с учётом роста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2268"/>
        <w:gridCol w:w="2835"/>
      </w:tblGrid>
      <w:tr>
        <w:trPr>
          <w:tblHeader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Рабочая группа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Сотрудников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С учётом роста 10 %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WG-1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22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17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18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20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WG-4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15</w:t>
            </w:r>
          </w:p>
        </w:tc>
      </w:tr>
      <w:tr>
        <w:trPr>
          <w:cantSplit w:val="true"/>
        </w:trPr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74</w:t>
            </w:r>
          </w:p>
        </w:tc>
      </w:tr>
    </w:tbl>
    <w:p>
      <w:pPr>
        <w:spacing w:line="240" w:lineRule="auto"/>
        <w:ind w:firstLine="0"/>
      </w:pPr>
    </w:p>
    <w:p>
      <w:pPr>
        <w:pStyle w:val="Heading2"/>
      </w:pPr>
      <w:r>
        <w:t>2.2 Распределение сотрудников по зонам подключения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Сотрудники каждой группы размещены по возможности в одной зоне и в зонах одного центра коммутации — так группе достаточно коммутаторов в одном ЦК: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 (22 чел.): зона 3 (S-03-01 – S-03-07), зона 4 (S-04-01 – S-04-15);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 (17 чел.): зона 1 (S-01-01 – S-01-17);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 (20 чел.): зона 2 (S-02-01 – S-02-20);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 (15 чел.): зона 5 (S-05-01 – S-05-15);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Свободными (резервными) остаются 12 точек подключения.</w:t>
      </w:r>
    </w:p>
    <w:p>
      <w:pPr>
        <w:pStyle w:val="Heading2"/>
      </w:pPr>
      <w:r>
        <w:t>2.3 Выбор коммутаторов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На каждом коммутаторе рабочей группы резервируются два порта: для подключения к корневому коммутатору отдела и для резервной связи с коммутатором другой группы; сервер группы подключается к коммутатору своей группы. Общий сервер и сервер БД подключены к корневому коммутатору, к которому напрямую подключены все коммутаторы групп — в штатном режиме трафик к общим серверам проходит не более чем через один транзитный коммутатор (корневой).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WG-1: 22 рабочих мест + 1 сервер + резерв 2 порта на коммутатор — S12-02 (S12TF, ЦК A), S24-03 (S24TF, ЦК B);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WG-2: 17 рабочих мест + 1 сервер + резерв 2 порта на коммутатор — S24-04 (S24TF, ЦК B);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WG-3: 20 рабочих мест + 1 сервер + резерв 2 порта на коммутатор — S24-05 (S24TF, ЦК A);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WG-4: 15 рабочих мест + 1 сервер + резерв 2 порта на коммутатор — S24-06 (S24TF, ЦК B);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корневой коммутатор отдела: 5 связей с коммутаторами групп + 2 сервера — S12-01 (S12TF, ЦК B).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Всего коммутаторов: 6, стоимость 110 у.е.</w:t>
      </w:r>
    </w:p>
    <w:p>
      <w:pPr>
        <w:pStyle w:val="Heading2"/>
      </w:pPr>
      <w:r>
        <w:t>2.4 Структура сети и роли портов STP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Идентификаторы коммутаторов (ID) назначены так, что наименьший ID = 01 имеет коммутатор S12-01; по алгоритму STP он становится корневым мостом, все его порты — назначенные (Н). У коммутаторов групп порт, ведущий к корневому, — корневой (К). На резервных связях между коммутаторами групп оба конца имеют одинаковую стоимость пути до корня, поэтому назначенным становится порт коммутатора с меньшим ID, а порт коммутатора с большим ID блокируется (Б). При обрыве связи коммутатора группы с корневым заблокированный порт переходит в рабочее состояние, и доступ к общим серверам сохраняется через соседний коммутатор.</w:t>
      </w:r>
    </w:p>
    <w:p>
      <w:pPr>
        <w:keepNext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Рабочие места подключены к портам коммутаторов групп (на рисунке не показаны, чтобы не загромождать схему):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S12-02: порты 1 – 7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S24-03: порты 1 – 15 — рабочие места WG-1;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S24-04: порты 1 – 17 — рабочие места WG-2;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S24-05: порты 1 – 20 — рабочие места WG-3;</w:t>
      </w: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– S24-06: порты 1 – 15 — рабочие места WG-4.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6414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414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Рисунок 3 – Структура ЛВС с активной конфигурацией и ролями портов STP</w:t>
      </w:r>
    </w:p>
    <w:p>
      <w:pPr>
        <w:pStyle w:val="Heading2"/>
      </w:pPr>
      <w:r>
        <w:t>2.5 Размещение оборудования и динамические соединения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5 – Размещение оборудования по центрам коммутации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850"/>
        <w:gridCol w:w="2551"/>
        <w:gridCol w:w="2835"/>
        <w:gridCol w:w="2268"/>
      </w:tblGrid>
      <w:tr>
        <w:trPr>
          <w:tblHeader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п/п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оборудования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оборудования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центра коммутации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S24TF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CommonServer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Общий сервер отдела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БД отдела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Server-WG1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WG-1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Server-WG2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WG-2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551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Server-WG3</w:t>
            </w:r>
          </w:p>
        </w:tc>
        <w:tc>
          <w:tcPr>
            <w:tcW w:type="dxa" w:w="2835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WG-3</w:t>
            </w:r>
          </w:p>
        </w:tc>
        <w:tc>
          <w:tcPr>
            <w:tcW w:type="dxa" w:w="2268"/>
          </w:tcPr>
          <w:p>
            <w:pPr>
              <w:keepNext/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A</w:t>
            </w:r>
          </w:p>
        </w:tc>
      </w:tr>
      <w:tr>
        <w:trPr>
          <w:cantSplit w:val="true"/>
        </w:trPr>
        <w:tc>
          <w:tcPr>
            <w:tcW w:type="dxa" w:w="850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Server-WG4</w:t>
            </w:r>
          </w:p>
        </w:tc>
        <w:tc>
          <w:tcPr>
            <w:tcW w:type="dxa" w:w="283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Сервер WG-4</w:t>
            </w:r>
          </w:p>
        </w:tc>
        <w:tc>
          <w:tcPr>
            <w:tcW w:type="dxa" w:w="226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B</w:t>
            </w:r>
          </w:p>
        </w:tc>
      </w:tr>
    </w:tbl>
    <w:p>
      <w:pPr>
        <w:spacing w:line="240" w:lineRule="auto"/>
        <w:ind w:firstLine="0"/>
      </w:pPr>
    </w:p>
    <w:p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Связи коммутаторов, находящихся в разных центрах коммутации, проходят через статические соединения между ЦК (задание 1); скрещённый кабель (X) ставится с одной стороны, чтобы соединение коммутатор — коммутатор в целом было скрещённым.</w:t>
      </w:r>
    </w:p>
    <w:p>
      <w:pPr>
        <w:keepNext/>
        <w:spacing w:before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</w:rPr>
        <w:t>Таблица 6 – Динамические соединения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2551"/>
        <w:gridCol w:w="2551"/>
        <w:gridCol w:w="1701"/>
      </w:tblGrid>
      <w:tr>
        <w:trPr>
          <w:tblHeader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№ соединения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Идентификатор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24"/>
              </w:rPr>
              <w:t>Тип кабеля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WG-1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WG-2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D29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D39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WG-3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P-A01-09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D49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S24-05-19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D59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P-A01-20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Рабочая группа WG-4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S24-06-06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S24-06-07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S24-06-08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S24-06-09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D69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P-B02-19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P-B02-24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Соединения между оборудованием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D79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P-A02-15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P-B03-03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S12-01-05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S12-02-11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D84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S24-06-23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X</w:t>
            </w:r>
          </w:p>
        </w:tc>
      </w:tr>
      <w:tr>
        <w:trPr>
          <w:cantSplit w:val="true"/>
        </w:trPr>
        <w:tc>
          <w:tcPr>
            <w:tcW w:type="dxa" w:w="1701"/>
            <w:gridSpan w:val="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/>
                <w:color w:val="000000"/>
                <w:sz w:val="24"/>
              </w:rPr>
              <w:t>Подключение серверов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D85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CommonServer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D86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S12-01-12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DB-Server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D87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S24-03-21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D88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S24-04-22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D89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S24-05-22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Server-WG3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  <w:tr>
        <w:trPr>
          <w:cantSplit w:val="true"/>
        </w:trPr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D90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S24-06-22</w:t>
            </w:r>
          </w:p>
        </w:tc>
        <w:tc>
          <w:tcPr>
            <w:tcW w:type="dxa" w:w="255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Server-WG4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24"/>
              </w:rPr>
              <w:t>||</w:t>
            </w:r>
          </w:p>
        </w:tc>
      </w:tr>
    </w:tbl>
    <w:p>
      <w:pPr>
        <w:spacing w:line="240" w:lineRule="auto"/>
        <w:ind w:firstLine="0"/>
      </w:pP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color w:val="000000"/>
        <w:sz w:val="28"/>
      </w:rPr>
      <w:t>Москва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8"/>
      </w:rPr>
      <w:fldChar w:fldCharType="begin"/>
    </w:r>
    <w:r>
      <w:rPr>
        <w:rFonts w:ascii="Times New Roman" w:hAnsi="Times New Roman" w:eastAsia="Times New Roman" w:cs="Times New Roman"/>
        <w:color w:val="000000"/>
        <w:sz w:val="28"/>
      </w:rPr>
      <w:instrText xml:space="preserve">PAGE</w:instrText>
    </w:r>
    <w:r>
      <w:rPr>
        <w:rFonts w:ascii="Times New Roman" w:hAnsi="Times New Roman" w:eastAsia="Times New Roman" w:cs="Times New Roman"/>
        <w:color w:val="000000"/>
        <w:sz w:val="28"/>
      </w:rPr>
      <w:fldChar w:fldCharType="separate"/>
    </w:r>
    <w:r>
      <w:rPr>
        <w:rFonts w:ascii="Times New Roman" w:hAnsi="Times New Roman" w:eastAsia="Times New Roman" w:cs="Times New Roman"/>
        <w:color w:val="000000"/>
        <w:sz w:val="28"/>
      </w:rPr>
      <w:t>1</w:t>
    </w:r>
    <w:r>
      <w:rPr>
        <w:rFonts w:ascii="Times New Roman" w:hAnsi="Times New Roman" w:eastAsia="Times New Roman" w:cs="Times New Roman"/>
        <w:color w:val="000000"/>
        <w:sz w:val="2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360" w:lineRule="auto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i w:val="0"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ind w:firstLine="709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