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«Национальный исследовательский университет «МЭИ»</w:t>
      </w:r>
    </w:p>
    <w:p>
      <w:pPr>
        <w:ind w:firstLine="0"/>
        <w:jc w:val="center"/>
      </w:pP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Институт информационных и вычислительных технологий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Кафедра вычислительных машин, систем и сетей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ОТЧЁТ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 выполнении заданий 1, 2, 3, 4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 курсу «Компьютерные сети»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«Основы построения компьютерных сетей»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Вариант 12-17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Выполнил:</w:t>
      </w:r>
    </w:p>
    <w:p>
      <w:pPr>
        <w:ind w:firstLine="0"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студент группы А-12-23</w:t>
      </w:r>
    </w:p>
    <w:p>
      <w:pPr>
        <w:ind w:firstLine="0"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Рязанцев Иоанн Васильевич</w:t>
      </w:r>
    </w:p>
    <w:p>
      <w:pPr>
        <w:ind w:firstLine="0" w:left="4535"/>
        <w:jc w:val="left"/>
      </w:pPr>
    </w:p>
    <w:p>
      <w:pPr>
        <w:ind w:firstLine="0"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Проверил: Рыбинцев В.О.</w:t>
      </w:r>
    </w:p>
    <w:p>
      <w:pPr>
        <w:ind w:firstLine="0" w:left="4535"/>
        <w:jc w:val="left"/>
      </w:pPr>
    </w:p>
    <w:p>
      <w:pPr>
        <w:ind w:firstLine="0"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Дата сдачи: ______________</w:t>
      </w:r>
    </w:p>
    <w:p>
      <w:pPr>
        <w:ind w:firstLine="0"/>
      </w:pPr>
      <w:r>
        <w:br w:type="page"/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СОДЕРЖАНИЕ</w:t>
      </w:r>
    </w:p>
    <w:p>
      <w:pPr>
        <w:ind w:firstLine="0"/>
      </w:pPr>
      <w:r>
        <w:rPr>
          <w:rFonts w:ascii="Times New Roman" w:hAnsi="Times New Roman" w:eastAsia="Times New Roman" w:cs="Times New Roman"/>
          <w:color w:val="000000"/>
          <w:sz w:val="28"/>
        </w:rPr>
        <w:fldChar w:fldCharType="begin"/>
      </w:r>
      <w:r>
        <w:rPr>
          <w:rFonts w:ascii="Times New Roman" w:hAnsi="Times New Roman" w:eastAsia="Times New Roman" w:cs="Times New Roman"/>
          <w:color w:val="000000"/>
          <w:sz w:val="28"/>
        </w:rPr>
        <w:instrText xml:space="preserve">TOC \o "1-2" \h \z \u</w:instrText>
      </w:r>
      <w:r>
        <w:rPr>
          <w:rFonts w:ascii="Times New Roman" w:hAnsi="Times New Roman" w:eastAsia="Times New Roman" w:cs="Times New Roman"/>
          <w:color w:val="000000"/>
          <w:sz w:val="28"/>
        </w:rPr>
        <w:fldChar w:fldCharType="separate"/>
      </w:r>
      <w:r>
        <w:rPr>
          <w:rFonts w:ascii="Times New Roman" w:hAnsi="Times New Roman" w:eastAsia="Times New Roman" w:cs="Times New Roman"/>
          <w:color w:val="000000"/>
          <w:sz w:val="28"/>
        </w:rPr>
        <w:t>Содержание обновится при открытии файла (F9 — обновить поле).</w:t>
      </w:r>
      <w:r>
        <w:rPr>
          <w:rFonts w:ascii="Times New Roman" w:hAnsi="Times New Roman" w:eastAsia="Times New Roman" w:cs="Times New Roman"/>
          <w:color w:val="000000"/>
          <w:sz w:val="28"/>
        </w:rPr>
        <w:fldChar w:fldCharType="end"/>
      </w:r>
    </w:p>
    <w:p>
      <w:pPr>
        <w:ind w:firstLine="0"/>
      </w:pPr>
      <w:r>
        <w:br w:type="page"/>
      </w:r>
    </w:p>
    <w:p>
      <w:pPr>
        <w:pStyle w:val="Heading1"/>
      </w:pPr>
      <w:r>
        <w:t>1 Разработка структурированной кабельной системы этажа здания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разработки структурированной кабельной системы (СКС) этажа здания и оформления соответствующей эксплуатационной документации.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в соответствии с вариантом и конфигурацией зон подключения U-3 разработать СКС на витой паре категории 5е, удовлетворяющую исходным данным.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 – Исходные данные варианта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"/>
        <w:gridCol w:w="1417"/>
        <w:gridCol w:w="1644"/>
        <w:gridCol w:w="1531"/>
        <w:gridCol w:w="1191"/>
        <w:gridCol w:w="1417"/>
        <w:gridCol w:w="1134"/>
      </w:tblGrid>
      <w:tr>
        <w:trPr>
          <w:tblHeader w:val="true"/>
        </w:trPr>
        <w:tc>
          <w:tcPr>
            <w:tcW w:type="dxa" w:w="10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Вариант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Конфигурация зон подключения</w:t>
            </w:r>
          </w:p>
        </w:tc>
        <w:tc>
          <w:tcPr>
            <w:tcW w:type="dxa" w:w="164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Количество точек подключения в зонах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Количество сотрудников в группах</w:t>
            </w:r>
          </w:p>
        </w:tc>
        <w:tc>
          <w:tcPr>
            <w:tcW w:type="dxa" w:w="119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Рост числа сотрудников, %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Максимальная стоимость для задания № 3, у.е.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Размеры (L×W), м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12-17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U-3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18, 23, 14, 15, 16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20, 15, 18, 13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210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110 × 70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zo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Конфигурация зон подключения U-3</w:t>
      </w:r>
    </w:p>
    <w:p>
      <w:pPr>
        <w:pStyle w:val="Heading2"/>
      </w:pPr>
      <w:r>
        <w:t>1.1 Выбор центров коммутации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Из допустимых мест размещения (рисунок 1) выбрано 2 центра коммутации — A, B. Места выбраны так, чтобы длина каждого статического соединения не превышала 90 м, а суммарная длина кабеля была минимальной. Масштаб плана: L = 110 м, W = 70 м.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A: зоны подключения 2, 3;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B: зоны подключения 1, 4, 5.</w:t>
      </w:r>
    </w:p>
    <w:p>
      <w:pPr>
        <w:pStyle w:val="Heading2"/>
      </w:pPr>
      <w:r>
        <w:t>1.2 Точки подключения и коммутационные панели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Точки подключения (розетки RJ45) равномерно распределены вдоль кабельных каналов, проложенных по внутренним границам зон подключения. Идентификатор розетки S-ZZ-NN: ZZ — номер зоны, NN — порядковый номер розетки в зоне. Каждый центр коммутации содержит коммутационные панели на 24 порта RJ45; идентификатор порта P-XNN-MM: X — центр коммутации, NN — номер панели, MM — номер порта.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2 – Распределение точек подключения по зонам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2608"/>
        <w:gridCol w:w="737"/>
        <w:gridCol w:w="3572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Зона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Число розеток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Идентификаторы розеток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ЦК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Порты панелей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S-01-01 – S-01-18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 – P-B01-18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S-02-01 – S-02-23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 – P-A01-23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S-03-01 – S-03-14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 – P-A02-13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S-04-01 – S-04-15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 – P-B02-09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S-05-01 – S-05-16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 – P-B03-01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86</w:t>
            </w:r>
          </w:p>
        </w:tc>
        <w:tc>
          <w:tcPr>
            <w:tcW w:type="dxa" w:w="260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</w:tr>
    </w:tbl>
    <w:p>
      <w:pPr>
        <w:spacing w:line="240" w:lineRule="auto"/>
        <w:ind w:firstLine="0"/>
      </w:pP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коммутационных панелей: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A: 37 портов под розетки и 2 под соединения между ЦК — 2 панели (A01, A02);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B: 49 портов под розетки и 2 под соединения между ЦК — 3 панели (B01, B02, B03).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Статические соединения между центрами коммутации заложены под магистральные связи коммутаторов, расположенных в разных ЦК (задания 2 и 3).</w:t>
      </w:r>
    </w:p>
    <w:p>
      <w:pPr>
        <w:sectPr>
          <w:footerReference w:type="first" r:id="rId9"/>
          <w:footerReference w:type="default" r:id="rId10"/>
          <w:pgSz w:w="11906" w:h="16838"/>
          <w:pgMar w:top="1134" w:right="850" w:bottom="1134" w:left="1701" w:header="720" w:footer="720" w:gutter="0"/>
          <w:cols w:space="720"/>
          <w:titlePg/>
          <w:docGrid w:linePitch="360"/>
        </w:sectPr>
      </w:pP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417894" cy="521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sk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17894" cy="52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План этажа с центрами коммутации, точками подключения и кабельными каналами</w:t>
      </w:r>
    </w:p>
    <w:p>
      <w:pPr>
        <w:sectPr>
          <w:pgSz w:w="16838" w:h="11906" w:orient="landscape"/>
          <w:pgMar w:top="1701" w:right="1134" w:bottom="850" w:left="1134" w:header="720" w:footer="720" w:gutter="0"/>
          <w:cols w:space="720"/>
          <w:docGrid w:linePitch="360"/>
        </w:sectPr>
      </w:pPr>
    </w:p>
    <w:p>
      <w:pPr>
        <w:pStyle w:val="Heading2"/>
      </w:pPr>
      <w:r>
        <w:t>1.3 Таблица статических соединений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Длина кабеля каждого статического соединения определена по плану (рисунок 2) как длина трассы по кабельным каналам от розетки до центра коммутации с точностью до 1 м, увеличенная на 3 м на прокладку по вертикали. Наименьшая длина — 10 м, наибольшая — 81 м, что не превышает 90 м, допустимых для статического соединения на витой паре.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3 – Статические соединения СКС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381"/>
        <w:gridCol w:w="238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Длина, м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центрами коммутации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</w:tbl>
    <w:p>
      <w:pPr>
        <w:spacing w:line="240" w:lineRule="auto"/>
        <w:ind w:firstLine="0"/>
      </w:pPr>
    </w:p>
    <w:p>
      <w:pPr>
        <w:ind w:firstLine="0"/>
      </w:pPr>
      <w:r>
        <w:br w:type="page"/>
      </w:r>
    </w:p>
    <w:p>
      <w:pPr>
        <w:pStyle w:val="Heading1"/>
      </w:pPr>
      <w:r>
        <w:t>2 Разработка базовой локальной вычислительной сети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выбора состава комплекса технических средств и разработки отказоустойчивой структуры локальной вычислительной сети за счёт использования возможностей протокола покрывающего дерева (STP, стандарт IEEE 802.1d).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для СКС, разработанной в задании 1, на неинтеллектуальных коммутаторах разработать структуру и выбрать состав технических средств ЛВС отдела из четырёх рабочих групп (WG-1 – WG-4), у каждой из которых есть свой сервер; кроме того, есть общий сервер отдела и сервер базы данных отдела, доступ к которым нужен всем сотрудникам. Все интерфейсы — 100BASE-TX, единое адресное пространство 192.168.0.0/16. Отказ соединения между коммутаторами не должен приводить к потере доступа группы к общим серверам; число транзитных коммутаторов в штатном режиме — минимальное.</w:t>
      </w:r>
    </w:p>
    <w:p>
      <w:pPr>
        <w:pStyle w:val="Heading2"/>
      </w:pPr>
      <w:r>
        <w:t>2.1 Расчёт числа рабочих мест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сотрудников каждой группы увеличивается на 10 % с округлением вверх: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4 – Число сотрудников рабочих групп с учётом роста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835"/>
      </w:tblGrid>
      <w:tr>
        <w:trPr>
          <w:tblHeader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Рабочая группа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Сотрудников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 учётом роста 10 %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2.2 Распределение сотрудников по зонам подключения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Сотрудники каждой группы размещены по возможности в одной зоне и в зонах одного центра коммутации — так группе достаточно коммутаторов в одном ЦК: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WG-1 (22 чел.): зона 3 (S-03-01 – S-03-07), зона 4 (S-04-01 – S-04-15);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WG-2 (17 чел.): зона 1 (S-01-01 – S-01-17);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WG-3 (20 чел.): зона 2 (S-02-01 – S-02-20);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WG-4 (15 чел.): зона 5 (S-05-01 – S-05-15);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Свободными (резервными) остаются 12 точек подключения.</w:t>
      </w:r>
    </w:p>
    <w:p>
      <w:pPr>
        <w:pStyle w:val="Heading2"/>
      </w:pPr>
      <w:r>
        <w:t>2.3 Выбор коммутаторов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каждом коммутаторе рабочей группы резервируются два порта: для подключения к корневому коммутатору отдела и для резервной связи с коммутатором другой группы; сервер группы подключается к коммутатору своей группы. Общий сервер и сервер БД подключены к корневому коммутатору, к которому напрямую подключены все коммутаторы групп — в штатном режиме трафик к общим серверам проходит не более чем через один транзитный коммутатор (корневой).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WG-1: 22 рабочих мест + 1 сервер + резерв 2 порта на коммутатор — S12-02 (S12TF, ЦК A), S24-03 (S24TF, ЦК B);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WG-2: 17 рабочих мест + 1 сервер + резерв 2 порта на коммутатор — S24-04 (S24TF, ЦК B);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WG-3: 20 рабочих мест + 1 сервер + резерв 2 порта на коммутатор — S24-05 (S24TF, ЦК A);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WG-4: 15 рабочих мест + 1 сервер + резерв 2 порта на коммутатор — S24-06 (S24TF, ЦК B);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корневой коммутатор отдела: 5 связей с коммутаторами групп + 2 сервера — S12-01 (S12TF, ЦК B).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Всего коммутаторов: 6, стоимость 110 у.е.</w:t>
      </w:r>
    </w:p>
    <w:p>
      <w:pPr>
        <w:pStyle w:val="Heading2"/>
      </w:pPr>
      <w:r>
        <w:t>2.4 Структура сети и роли портов STP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Идентификаторы коммутаторов (ID) назначены так, что наименьший ID = 01 имеет коммутатор S12-01; по алгоритму STP он становится корневым мостом, все его порты — назначенные (Н). У коммутаторов групп порт, ведущий к корневому, — корневой (К). На резервных связях между коммутаторами групп оба конца имеют одинаковую стоимость пути до корня, поэтому назначенным становится порт коммутатора с меньшим ID, а порт коммутатора с большим ID блокируется (Б). При обрыве связи коммутатора группы с корневым заблокированный порт переходит в рабочее состояние, и доступ к общим серверам сохраняется через соседний коммутатор.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Рабочие места подключены к портам коммутаторов групп (на рисунке не показаны, чтобы не загромождать схему):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S12-02: порты 1 – 7 — рабочие места WG-1;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S24-03: порты 1 – 15 — рабочие места WG-1;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S24-04: порты 1 – 17 — рабочие места WG-2;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S24-05: порты 1 – 20 — рабочие места WG-3;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S24-06: порты 1 – 15 — рабочие места WG-4.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4147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414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Структура ЛВС с активной конфигурацией и ролями портов STP</w:t>
      </w:r>
    </w:p>
    <w:p>
      <w:pPr>
        <w:pStyle w:val="Heading2"/>
      </w:pPr>
      <w:r>
        <w:t>2.5 Размещение оборудования и динамические соединения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5 – Размещение оборудования по центрам коммутации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2551"/>
        <w:gridCol w:w="2835"/>
        <w:gridCol w:w="2268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оборудования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оборудования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центра коммутации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CommonServer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Общий сервер отдела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DB-Server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Сервер БД отдела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Server-WG1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Сервер WG-1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Server-WG2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Сервер WG-2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Server-WG3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Сервер WG-3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Server-WG4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Сервер WG-4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Связи коммутаторов, находящихся в разных центрах коммутации, проходят через статические соединения между ЦК (задание 1); скрещённый кабель (X) ставится с одной стороны, чтобы соединение коммутатор — коммутатор в целом было скрещённым.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6 – Динамические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255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кабеля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оборудованием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Подключение серверов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CommonServer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DB-Server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</w:tbl>
    <w:p>
      <w:pPr>
        <w:spacing w:line="240" w:lineRule="auto"/>
        <w:ind w:firstLine="0"/>
      </w:pPr>
    </w:p>
    <w:p>
      <w:pPr>
        <w:ind w:firstLine="0"/>
      </w:pPr>
      <w:r>
        <w:br w:type="page"/>
      </w:r>
    </w:p>
    <w:p>
      <w:pPr>
        <w:pStyle w:val="Heading1"/>
      </w:pPr>
      <w:r>
        <w:t>3 Разработка локальной вычислительной сети на интеллектуальных коммутаторах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выбора состава и разработки структуры комплекса технических средств локальной сети на коммутаторах, поддерживающих технологию виртуальных локальных сетей (VLAN) по стандарту IEEE 802.1q и статическую маршрутизацию.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на интеллектуальных коммутаторах (Smart Switch) построить ЛВС, в которой широковещательный трафик каждой рабочей группы изолирован от других групп, стоимостью не более 210 у.е.</w:t>
      </w:r>
    </w:p>
    <w:p>
      <w:pPr>
        <w:pStyle w:val="Heading2"/>
      </w:pPr>
      <w:r>
        <w:t>3.1 Виртуальные сети и необходимое число портов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Каждой рабочей группе выделена своя VLAN на основе портов; общие серверы отдела вынесены в отдельную VLAN50. Маршрутизацию между VLAN выполняет модуль маршрутизации коммутатора третьего уровня. Рабочие места подключаются к портам 100BASE-TX, серверы — к портам 1000BASE-T.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7 – Необходимое число портов по VLAN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1984"/>
        <w:gridCol w:w="1984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VLAN ID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Портов 100BASE-TX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Портов 1000BASE-T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VLAN10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VLAN20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VLAN30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VLAN40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VLAN50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Общие серверы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3.2 Выбор коммутаторов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Коммутатор третьего уровня SS12TG-L3 (12 портов 1000BASE-T) обязателен — он маршрутизирует трафик между VLAN; к нему подключены общие серверы, магистрали от коммутаторов второго уровня и (в задании 4) два внешних маршрутизатора. Коммутаторы второго уровня выбраны по числу рабочих мест в каждом центре коммутации при минимальной стоимости; один гигабитный порт каждого из них — магистраль (T) к коммутатору третьего уровня, второй — под сервер группы.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 рабочих мест подключены к свободным портам 10/100/1000BASE-T — они совместимы с 100BASE-TX, это позволяет уложиться в заданную стоимость.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8 – Размещение оборудования по центрам коммутации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2154"/>
        <w:gridCol w:w="2494"/>
        <w:gridCol w:w="1701"/>
        <w:gridCol w:w="1587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</w:rPr>
              <w:t>№ п/п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</w:rPr>
              <w:t>Идентификатор оборудования</w:t>
            </w:r>
          </w:p>
        </w:tc>
        <w:tc>
          <w:tcPr>
            <w:tcW w:type="dxa" w:w="24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</w:rPr>
              <w:t>Тип оборудования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</w:rPr>
              <w:t>Центр коммутации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</w:rPr>
              <w:t>Стоимость, у.е.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</w:t>
            </w:r>
          </w:p>
        </w:tc>
        <w:tc>
          <w:tcPr>
            <w:tcW w:type="dxa" w:w="24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SS12TG-L3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</w:t>
            </w:r>
          </w:p>
        </w:tc>
        <w:tc>
          <w:tcPr>
            <w:tcW w:type="dxa" w:w="24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</w:t>
            </w:r>
          </w:p>
        </w:tc>
        <w:tc>
          <w:tcPr>
            <w:tcW w:type="dxa" w:w="24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</w:t>
            </w:r>
          </w:p>
        </w:tc>
        <w:tc>
          <w:tcPr>
            <w:tcW w:type="dxa" w:w="24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15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210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Стоимость: 3·55 + 1·45 = 210 у.е., что не превышает заданных 210 у.е.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Серверы размещены в центрах коммутации вместе с коммутаторами, к которым подключены: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CommonServer — L3-01, порт 1, ЦК A;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DB-Server — L3-01, порт 2, ЦК A;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Server-WG1 — SS24-03, порт 25, ЦК B;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Server-WG2 — SS24-04, порт 25, ЦК B;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Server-WG3 — SS24-02, порт 25, ЦК A;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Server-WG4 — L3-01, порт 3, ЦК A.</w:t>
      </w:r>
    </w:p>
    <w:p>
      <w:pPr>
        <w:pStyle w:val="Heading2"/>
      </w:pPr>
      <w:r>
        <w:t>3.3 Структура сети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Порты рабочих мест и серверов работают в режиме U (untagged) и принадлежат VLAN своей группы; магистральные порты между коммутаторами работают в режиме T (tagged) и передают кадры всех VLAN с метками IEEE 802.1q.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8613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861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4 – Структура ЛВС с VLAN на интеллектуальных коммутаторах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9 – Динамические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255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кабеля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WG-1 (VLAN10)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WG-2 (VLAN20)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WG-3 (VLAN30)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WG-4 (VLAN40)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оборудованием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Подключение серверов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CommonServer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DB-Server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3.4 IP-адресация и маршрутизация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Адреса сетей имеют вид 1xx.1yy.zz.0/24, где xx = 12 — номер учебной группы, yy = 17 — номер студента в журнале, zz — номер VLAN. В каждой VLAN адрес .1 — интерфейс модуля маршрутизации (шлюз по умолчанию), .2 — сервер группы, далее — рабочие места; в VLAN50: .2 — общий сервер, .3 — сервер БД.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10 – Распределение IP-адресов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417"/>
        <w:gridCol w:w="2551"/>
        <w:gridCol w:w="3685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VLAN ID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IP сети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IP оборудования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VLAN10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112.117.10.0/24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112.117.10.1 – 112.117.10.24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VLAN20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112.117.20.0/24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112.117.20.1 – 112.117.20.19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VLAN30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112.117.30.0/24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112.117.30.1 – 112.117.30.22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VLAN40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112.117.40.0/24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112.117.40.1 – 112.117.40.17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112.117.50.0/24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112.117.50.1 – 112.117.50.3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11 – Таблица маршрутизации коммутатора 3-го уровня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928"/>
        <w:gridCol w:w="1928"/>
        <w:gridCol w:w="1871"/>
      </w:tblGrid>
      <w:tr>
        <w:trPr>
          <w:tblHeader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сети назначения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Маска сети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следующего маршрутизатора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Идентификатор порта модуля маршрутизации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порта модуля маршрутизации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VLAN10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VLAN20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VLAN30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VLAN40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VLAN50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112.117.50.1</w:t>
            </w:r>
          </w:p>
        </w:tc>
      </w:tr>
    </w:tbl>
    <w:p>
      <w:pPr>
        <w:spacing w:line="240" w:lineRule="auto"/>
        <w:ind w:firstLine="0"/>
      </w:pPr>
    </w:p>
    <w:p>
      <w:pPr>
        <w:ind w:firstLine="0"/>
      </w:pPr>
      <w:r>
        <w:br w:type="page"/>
      </w:r>
    </w:p>
    <w:p>
      <w:pPr>
        <w:pStyle w:val="Heading1"/>
      </w:pPr>
      <w:r>
        <w:t>4 Организация отказоустойчивого подключения локальной сети к Internet со статической маршрутизацией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составления таблицы статической маршрутизации между VLAN с организацией отказоустойчивого подключения к сети Internet за счёт протокола VRRP при динамическом назначении IP-адресов пользователям.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для сети из задания 3 подключить два внешних маршрутизатора R-01 и R-02, образующих по протоколу VRRP виртуальный маршрутизатор (сеть 172.31.1.0/29), модифицировать таблицы IP-адресов и маршрутизации коммутатора 3-го уровня, задать параметры DHCP-серверов для VLAN.</w:t>
      </w:r>
    </w:p>
    <w:p>
      <w:pPr>
        <w:pStyle w:val="Heading2"/>
      </w:pPr>
      <w:r>
        <w:t>4.1 Подключение маршрутизаторов и параметры VRRP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Маршрутизаторы R-01 и R-02 подключены к портам 8 и 9 коммутатора L3-01, отнесённым к новой VLAN60. Маршрутизатор с большим приоритетом (R-01) — основной (Master), R-02 — резервный (Backup); при отказе R-01 R-02 принимает на себя IP- и MAC-адрес виртуального маршрутизатора.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12 – Параметры протокола VRRP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2"/>
        <w:gridCol w:w="3402"/>
      </w:tblGrid>
      <w:tr>
        <w:trPr>
          <w:tblHeader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Идентификатор группы VRRP (VRID)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Приоритет R-01 (Master)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110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Приоритет R-02 (Backup)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100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IP-адрес R-01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172.31.1.2/29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IP-адрес R-02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172.31.1.3/29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IP-адрес виртуального маршрутизатора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172.31.1.1/29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MAC-адрес виртуального маршрутизатора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00-00-5E-00-01-11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IP-адрес модуля маршрутизации в VLAN60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172.31.1.6/29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MAC-адрес виртуального маршрутизатора по стандарту VRRP — 00-00-5E-00-01-XX, где XX — VRID в шестнадцатеричном виде (17 = 11h).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4710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471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5 – Структура ЛВС с внешними маршрутизаторами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13 – Динамические соединения (дополнение к таблице задания 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255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кабеля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Подключение маршрутизаторов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D86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L3-01-08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R-01-01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R-02-01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4.2 Распределение IP-адресов и маршрутизация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14 – Распределение IP-адресов (с учётом R-01, R-02)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417"/>
        <w:gridCol w:w="2551"/>
        <w:gridCol w:w="3685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VLAN ID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IP сети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IP оборудования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VLAN10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112.117.10.0/24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112.117.10.1 – 112.117.10.24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VLAN20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112.117.20.0/24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112.117.20.1 – 112.117.20.19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VLAN30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112.117.30.0/24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112.117.30.1 – 112.117.30.22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VLAN40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112.117.40.0/24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112.117.40.1 – 112.117.40.17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VLAN50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112.117.50.0/24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112.117.50.1 – 112.117.50.3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VLAN60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172.31.1.0/29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172.31.1.1 – 172.31.1.3, 172.31.1.6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Маршрут по умолчанию (0.0.0.0/0) направляет трафик в Internet на адрес виртуального маршрутизатора — так он не зависит от того, какой из R-01 и R-02 сейчас основной.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15 – Таблица маршрутизации коммутатора 3-го уровня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928"/>
        <w:gridCol w:w="1928"/>
        <w:gridCol w:w="1871"/>
      </w:tblGrid>
      <w:tr>
        <w:trPr>
          <w:tblHeader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сети назначения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Маска сети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следующего маршрутизатора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Идентификатор порта модуля маршрутизации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порта модуля маршрутизации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VLAN10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VLAN20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VLAN30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VLAN40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VLAN50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255.255.255.248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VLAN60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172.31.1.6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0.0.0.0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0.0.0.0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VLAN60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172.31.1.6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4.3 Параметры DHCP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Пользователям каждой VLAN адреса выдаются динамически из диапазона, начиная с .3 (адреса .1 и .2 заняты шлюзом и сервером группы); серверам отдела адреса назначены статически. В качестве DNS-сервера указан адрес виртуального маршрутизатора.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16 – Параметры DHCP-серверов для VLAN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3061"/>
        <w:gridCol w:w="1814"/>
        <w:gridCol w:w="1871"/>
        <w:gridCol w:w="1814"/>
      </w:tblGrid>
      <w:tr>
        <w:trPr>
          <w:tblHeader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VLAN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Диапазон IP-адресов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Маска сети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маршрутизатора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сервера DNS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112.117.10.3 – 112.117.10.24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112.117.10.1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20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112.117.20.3 – 112.117.20.19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112.117.20.1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30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112.117.30.3 – 112.117.30.22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112.117.30.1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40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112.117.40.3 – 112.117.40.17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112.117.40.1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50</w:t>
            </w:r>
          </w:p>
        </w:tc>
        <w:tc>
          <w:tcPr>
            <w:tcW w:type="dxa" w:w="30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 (статические адреса)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112.117.50.1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</w:tr>
    </w:tbl>
    <w:p>
      <w:pPr>
        <w:spacing w:line="240" w:lineRule="auto"/>
        <w:ind w:firstLine="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Москва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color w:val="000000"/>
        <w:sz w:val="28"/>
      </w:rPr>
      <w:fldChar w:fldCharType="begin"/>
    </w:r>
    <w:r>
      <w:rPr>
        <w:rFonts w:ascii="Times New Roman" w:hAnsi="Times New Roman" w:eastAsia="Times New Roman" w:cs="Times New Roman"/>
        <w:color w:val="000000"/>
        <w:sz w:val="28"/>
      </w:rPr>
      <w:instrText xml:space="preserve">PAGE</w:instrText>
    </w:r>
    <w:r>
      <w:rPr>
        <w:rFonts w:ascii="Times New Roman" w:hAnsi="Times New Roman" w:eastAsia="Times New Roman" w:cs="Times New Roman"/>
        <w:color w:val="000000"/>
        <w:sz w:val="28"/>
      </w:rPr>
      <w:fldChar w:fldCharType="separate"/>
    </w:r>
    <w:r>
      <w:rPr>
        <w:rFonts w:ascii="Times New Roman" w:hAnsi="Times New Roman" w:eastAsia="Times New Roman" w:cs="Times New Roman"/>
        <w:color w:val="000000"/>
        <w:sz w:val="28"/>
      </w:rPr>
      <w:t>1</w:t>
    </w:r>
    <w:r>
      <w:rPr>
        <w:rFonts w:ascii="Times New Roman" w:hAnsi="Times New Roman" w:eastAsia="Times New Roman" w:cs="Times New Roman"/>
        <w:color w:val="000000"/>
        <w:sz w:val="2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