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«Национальный исследовательский университет «МЭИ»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Институт информационных и вычислительных технологий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Кафедра вычислительных машин, систем и сетей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РАСЧЁТНОЕ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«Основы построения компьютерных сетей»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Вариант 12-17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студент группы А-12-23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Рязанцев Иоанн Васильевич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Проверил: Рыбинцев В.О.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 сдачи: ______________</w:t>
      </w:r>
    </w:p>
    <w:p>
      <w:pPr>
        <w:ind w:firstLine="0"/>
      </w:pPr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</w:r>
      <w:r>
        <w:rPr>
          <w:rFonts w:ascii="Times New Roman" w:hAnsi="Times New Roman" w:eastAsia="Times New Roman" w:cs="Times New Roman"/>
          <w:color w:val="000000"/>
          <w:sz w:val="28"/>
        </w:rPr>
        <w:instrText xml:space="preserve">TOC \o "1-2" \h \z \u</w:instrTex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separate"/>
      </w:r>
      <w:r>
        <w:rPr>
          <w:rFonts w:ascii="Times New Roman" w:hAnsi="Times New Roman" w:eastAsia="Times New Roman" w:cs="Times New Roman"/>
          <w:color w:val="000000"/>
          <w:sz w:val="28"/>
        </w:rPr>
        <w:t>Содержание обновится при открытии файла (F9 — обновить поле).</w: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end"/>
      </w:r>
    </w:p>
    <w:p>
      <w:pPr>
        <w:ind w:firstLine="0"/>
      </w:pPr>
      <w:r>
        <w:br w:type="page"/>
      </w:r>
    </w:p>
    <w:p>
      <w:pPr>
        <w:pStyle w:val="Heading1"/>
      </w:pPr>
      <w:r>
        <w:t>1 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Исходные данные варианта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417"/>
        <w:gridCol w:w="1644"/>
        <w:gridCol w:w="1531"/>
        <w:gridCol w:w="1191"/>
        <w:gridCol w:w="1417"/>
        <w:gridCol w:w="1134"/>
      </w:tblGrid>
      <w:tr>
        <w:trPr>
          <w:tblHeader w:val="true"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Вариант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Конфигурация зон подключения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точек подключения в зонах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сотрудников в группах</w:t>
            </w:r>
          </w:p>
        </w:tc>
        <w:tc>
          <w:tcPr>
            <w:tcW w:type="dxa" w:w="119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Рост числа сотрудников, %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Максимальная стоимость для задания № 3, у.е.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12-17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U-3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18, 23, 14, 15, 16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20, 15, 18, 13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210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Конфигурация зон подключения U-3</w:t>
      </w:r>
    </w:p>
    <w:p>
      <w:pPr>
        <w:pStyle w:val="Heading2"/>
      </w:pPr>
      <w:r>
        <w:t>1.1 Выбор центров коммутации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(рисунок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pPr>
        <w:pStyle w:val="Heading2"/>
      </w:pPr>
      <w:r>
        <w:t>1.2 Точки подключения и коммутационные панели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2 под соединения между ЦК — 2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2 под соединения между ЦК — 3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ectPr>
          <w:footerReference w:type="first" r:id="rId9"/>
          <w:footerReference w:type="default" r:id="rId10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17894" cy="52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17894" cy="52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План этажа с центрами коммутации, точками подключения и кабельными каналами</w:t>
      </w:r>
    </w:p>
    <w:p>
      <w:pPr>
        <w:sectPr>
          <w:pgSz w:w="16838" w:h="11906" w:orient="landscape"/>
          <w:pgMar w:top="1701" w:right="1134" w:bottom="850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1.3 Таблица статических соединений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(рисунок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2 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2.1 Расчёт числа рабочих мест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2.2 Распределение сотрудников по зонам подключения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pPr>
        <w:pStyle w:val="Heading2"/>
      </w:pPr>
      <w:r>
        <w:t>2.3 Выбор коммутаторов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WG-1: 22 рабочих мест + 1 сервер + резерв 2 порта на коммутатор — S12-02 (S12TF, ЦК A), S24-03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WG-2: 17 рабочих мест + 1 сервер + резерв 2 порта на коммутатор — S24-04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WG-3: 20 рабочих мест + 1 сервер + резерв 2 порта на коммутатор — S24-05 (S24TF, ЦК A);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WG-4: 15 рабочих мест + 1 сервер + резерв 2 порта на коммутатор — S24-06 (S24TF, ЦК B);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корневой коммутатор отдела: 5 связей с коммутаторами групп + 2 сервера — S12-01 (S12TF, ЦК B).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Всего коммутаторов: 6, стоимость 110 у.е.</w:t>
      </w:r>
    </w:p>
    <w:p>
      <w:pPr>
        <w:pStyle w:val="Heading2"/>
      </w:pPr>
      <w:r>
        <w:t>2.4 Структура сети и роли портов STP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01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147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14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Структура ЛВС с активной конфигурацией и ролями портов STP</w:t>
      </w:r>
    </w:p>
    <w:p>
      <w:pPr>
        <w:pStyle w:val="Heading2"/>
      </w:pPr>
      <w:r>
        <w:t>2.5 Размещение оборудования и динамические соединения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 – 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Общий сервер отдела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БД отдела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 WG-4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 – 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серверов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3 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3.1 Виртуальные сети и необходимое число портов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 – 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3.2 Выбор коммутаторов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 подключены к свободным портам 10/100/1000BASE-T — они совместимы с 100BASE-TX, это позволяет уложиться в заданную стоимость.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 – 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154"/>
        <w:gridCol w:w="2494"/>
        <w:gridCol w:w="1701"/>
        <w:gridCol w:w="1587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№ п/п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Идентификатор оборудования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Тип оборудования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Центр коммутации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15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</w:t>
            </w:r>
          </w:p>
        </w:tc>
        <w:tc>
          <w:tcPr>
            <w:tcW w:type="dxa" w:w="24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1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CommonServer — L3-01,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 — L3-01,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Server-WG1 — SS24-03,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Server-WG2 — SS24-04,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Server-WG3 — SS24-02,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Server-WG4 — L3-01, порт 3, ЦК A.</w:t>
      </w:r>
    </w:p>
    <w:p>
      <w:pPr>
        <w:pStyle w:val="Heading2"/>
      </w:pPr>
      <w:r>
        <w:t>3.3 Структура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861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Структура ЛВС с VLAN на интеллектуальных коммутаторах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 – 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серверов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CommonServer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SS24-03-25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SS24-04-25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SS24-02-25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Server-WG4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3.4 IP-адресация и маршрутизация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 – 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417"/>
        <w:gridCol w:w="2551"/>
        <w:gridCol w:w="3685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сети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оборудования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112.117.10.1 – 112.117.10.24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112.117.20.1 – 112.117.20.19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112.117.30.1 – 112.117.30.22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112.117.40.1 – 112.117.40.17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112.117.50.0/24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112.117.50.1 – 112.117.50.3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 – 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4 Организация отказоустойчивого подключения локальной сети к Internet со статической маршрутизацией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составления таблицы статической маршрутизации между VLAN с организацией отказоустойчивого подключения к сети Internet за счёт протокола VRRP при динамическом назначении IP-адресов пользователям.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сети из задания 3 подключить два внешних маршрутизатора R-01 и R-02, образующих по протоколу VRRP виртуальный маршрутизатор (сеть 172.31.1.0/29), модифицировать таблицы IP-адресов и маршрутизации коммутатора 3-го уровня, задать параметры DHCP-серверов для VLAN.</w:t>
      </w:r>
    </w:p>
    <w:p>
      <w:pPr>
        <w:pStyle w:val="Heading2"/>
      </w:pPr>
      <w:r>
        <w:t>4.1 Подключение маршрутизаторов и параметры VRRP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Маршрутизаторы R-01 и R-02 подключены к портам 8 и 9 коммутатора L3-01, отнесённым к новой VLAN60. Маршрутизатор с большим приоритетом (R-01) — основной (Master), R-02 — резервный (Backup); при отказе R-01 R-02 принимает на себя IP- и MAC-адрес виртуального маршрутизатора.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 – Параметры протокола VRRP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3402"/>
      </w:tblGrid>
      <w:tr>
        <w:trPr>
          <w:tblHeader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группы VRRP (VRID)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R-01 (Master)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R-02 (Backup)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R-01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172.31.1.2/29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R-02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172.31.1.3/29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MAC-адрес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00-00-5E-00-01-11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модуля маршрутизации в VLAN60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172.31.1.6/29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MAC-адрес виртуального маршрутизатора по стандарту VRRP — 00-00-5E-00-01-XX, где XX — VRID в шестнадцатеричном виде (17 = 11h).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71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71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Структура ЛВС с внешними маршрутизаторами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 – Динамические соединения (дополнение к таблице задания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маршрутизаторов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R-01-01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L3-01-09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4.2 Распределение IP-адресов и маршрутизация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 – Распределение IP-адресов (с учётом R-01, R-02)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417"/>
        <w:gridCol w:w="2551"/>
        <w:gridCol w:w="3685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сети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IP оборудования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112.117.10.1 – 112.117.10.24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112.117.20.1 – 112.117.20.19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112.117.30.1 – 112.117.30.22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112.117.40.1 – 112.117.40.17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112.117.50.0/24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112.117.50.1 – 112.117.50.3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172.31.1.0/29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 – 172.31.1.3, 172.31.1.6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по умолчанию (0.0.0.0/0) направляет трафик в Internet на адрес виртуального маршрутизатора — так он не зависит от того, какой из R-01 и R-02 сейчас основной.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 – 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255.255.255.248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4.3 Параметры DHCP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Пользователям каждой VLAN адреса выдаются динамически из диапазона, начиная с .3 (адреса .1 и .2 заняты шлюзом и сервером группы); серверам отдела адреса назначены статически. В качестве DNS-сервера указан адрес виртуального маршрутизатора.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 – Параметры DHCP-серверов для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3061"/>
        <w:gridCol w:w="1814"/>
        <w:gridCol w:w="1871"/>
        <w:gridCol w:w="1814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Диапазон IP-адресов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маршрутизатора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сервера DNS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50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 (статические адреса)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