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Судьбинин Н.А.</w:t>
            </w:r>
          </w:p>
          <w:p>
            <w:pPr>
              <w:spacing w:before="56" w:after="0"/>
              <w:ind w:left="5386" w:firstLine="0"/>
              <w:jc w:val="left"/>
              <w:rPr>
                <w:sz w:val="28"/>
              </w:rPr>
            </w:pPr>
            <w:r>
              <w:rPr>
                <w:sz w:val="28"/>
              </w:rPr>
              <w:t xml:space="preserve">Группа: Аэ-21-23</w:t>
            </w:r>
          </w:p>
          <w:p>
            <w:pPr>
              <w:spacing w:before="56" w:after="0"/>
              <w:ind w:left="5386" w:firstLine="0"/>
              <w:jc w:val="left"/>
              <w:rPr>
                <w:sz w:val="28"/>
              </w:rPr>
            </w:pPr>
            <w:r>
              <w:rPr>
                <w:sz w:val="28"/>
              </w:rPr>
              <w:t xml:space="preserve">Вариант: 11</w:t>
            </w:r>
          </w:p>
          <w:p>
            <w:pPr>
              <w:spacing w:before="56" w:after="0"/>
              <w:ind w:left="5386" w:firstLine="0"/>
              <w:jc w:val="left"/>
              <w:rPr>
                <w:sz w:val="28"/>
              </w:rPr>
            </w:pPr>
            <w:r>
              <w:rPr>
                <w:sz w:val="28"/>
              </w:rPr>
              <w:t xml:space="preserve">Дата: 07.10.26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11, группа Аэ-21-23), выполнены расчёты элементов сопряжения и построены временные диаграммы обмена МК с буфером.</w:t>
      </w:r>
    </w:p>
    <w:p>
      <w:pPr>
        <w:pStyle w:val="BodyText"/>
      </w:pPr>
      <w:r>
        <w:t xml:space="preserve">Разрабатываемая система на микроконтроллере AT89S53 принимает от внешнего устройства поток восьмиразрядных отсчётов X2, складывает их в кольцевой буфер на двухпортовой памяти IDT7005, а с пульта получает цифру X1 и по ним выдаёт на выходной регистр сигнал Y2 = (21 + 11 + X1 + X2) mod 256 со стробом длительностью 1751 мкс на выводе P1.5. Кроме этого, клавишей «Тест» формируется строб Y1 на P1.4 длительностью 313 мс, а нажатый символ держится на индикаторе 2,745 с. Особенности моего варианта (Аэ-21, M = 11): клавиатура 3×4 (три столбца, четыре строки), индикатор с общим катодом, буфер на 1910 байт выбирается выходом Y7 дешифратора 74HC138, регистр Y2 — выходом Y2, индикатор — Y1, клавиатура — Y3.</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 1.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 2.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P1.4</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313 мс</w:t>
            </w:r>
          </w:p>
        </w:tc>
      </w:tr>
      <w:tr>
        <w:tc>
          <w:tcPr/>
          <w:p>
            <w:pPr>
              <w:pStyle w:val="Compact"/>
            </w:pPr>
            <w:r>
              <w:t xml:space="preserve">P1.5</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1751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313 мс и</w:t>
            </w:r>
            <w:r>
              <w:t xml:space="preserve"> </w:t>
            </w:r>
            <w:r>
              <w:rPr>
                <w:i/>
                <w:iCs/>
              </w:rPr>
              <w:t xml:space="preserve">T</w:t>
            </w:r>
            <w:r>
              <w:rPr>
                <w:vertAlign w:val="subscript"/>
              </w:rPr>
              <w:t xml:space="preserve">3</w:t>
            </w:r>
            <w:r>
              <w:t xml:space="preserve"> </w:t>
            </w:r>
            <w:r>
              <w:t xml:space="preserve">= 2,745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1751 мкс</w:t>
            </w:r>
          </w:p>
        </w:tc>
      </w:tr>
      <w:tr>
        <w:tc>
          <w:tcPr/>
          <w:p>
            <w:pPr>
              <w:pStyle w:val="Compact"/>
            </w:pPr>
            <w:r>
              <w:t xml:space="preserve">Внутреннее ОЗУ</w:t>
            </w:r>
          </w:p>
        </w:tc>
        <w:tc>
          <w:tcPr/>
          <w:p>
            <w:pPr>
              <w:pStyle w:val="Compact"/>
            </w:pPr>
            <w:r>
              <w:t xml:space="preserve">указатели буфера «голова» 51h, «хвост» 53h; флаги пустоты 21h.3 и переполнения 24h.0;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C1, C2 выбраны по рекомендации производителя МК (30 пФ ± 10 пФ) [1].</w:t>
      </w:r>
    </w:p>
    <w:p>
      <w:pPr>
        <w:pStyle w:val="Figure"/>
      </w:pPr>
      <w:r>
        <w:drawing>
          <wp:inline>
            <wp:extent cx="5651999" cy="3945357"/>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945357"/>
                    </a:xfrm>
                    <a:prstGeom prst="rect">
                      <a:avLst/>
                    </a:prstGeom>
                    <a:noFill/>
                    <a:ln w="9525">
                      <a:noFill/>
                      <a:headEnd/>
                      <a:tailEnd/>
                    </a:ln>
                  </pic:spPr>
                </pic:pic>
              </a:graphicData>
            </a:graphic>
          </wp:inline>
        </w:drawing>
      </w:r>
    </w:p>
    <w:p>
      <w:pPr>
        <w:pStyle w:val="ImageCaption"/>
      </w:pPr>
      <w:r>
        <w:t xml:space="preserve">Рис. 3. Схема микропроцессорного устройства</w:t>
      </w:r>
    </w:p>
    <w:p>
      <w:pPr>
        <w:pStyle w:val="BodyText"/>
      </w:pPr>
      <w:r>
        <w:t xml:space="preserve">Сброс МК выполняется RC-цепью C3–R1: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 кОм · 10 мкФ = 100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 4.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Индикатор</w:t>
            </w:r>
          </w:p>
        </w:tc>
        <w:tc>
          <w:tcPr/>
          <w:p>
            <w:pPr>
              <w:pStyle w:val="Compact"/>
            </w:pPr>
            <w:r>
              <w:t xml:space="preserve">2000h–3FFFh</w:t>
            </w:r>
          </w:p>
        </w:tc>
      </w:tr>
      <w:tr>
        <w:tc>
          <w:tcPr/>
          <w:p>
            <w:pPr>
              <w:pStyle w:val="Compact"/>
            </w:pPr>
            <w:r>
              <w:t xml:space="preserve">Y2</w:t>
            </w:r>
          </w:p>
        </w:tc>
        <w:tc>
          <w:tcPr/>
          <w:p>
            <w:pPr>
              <w:pStyle w:val="Compact"/>
            </w:pPr>
            <w:r>
              <w:t xml:space="preserve">Регистр Y2</w:t>
            </w:r>
          </w:p>
        </w:tc>
        <w:tc>
          <w:tcPr/>
          <w:p>
            <w:pPr>
              <w:pStyle w:val="Compact"/>
            </w:pPr>
            <w:r>
              <w:t xml:space="preserve">4000h–5FFFh</w:t>
            </w:r>
          </w:p>
        </w:tc>
      </w:tr>
      <w:tr>
        <w:tc>
          <w:tcPr/>
          <w:p>
            <w:pPr>
              <w:pStyle w:val="Compact"/>
            </w:pPr>
            <w:r>
              <w:t xml:space="preserve">Y3</w:t>
            </w:r>
          </w:p>
        </w:tc>
        <w:tc>
          <w:tcPr/>
          <w:p>
            <w:pPr>
              <w:pStyle w:val="Compact"/>
            </w:pPr>
            <w:r>
              <w:t xml:space="preserve">Клавиатура</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Буфер (IDT7005)</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не используется</w:t>
            </w:r>
          </w:p>
        </w:tc>
        <w:tc>
          <w:tcPr/>
          <w:p>
            <w:pPr>
              <w:pStyle w:val="Compact"/>
            </w:pPr>
            <w:r>
              <w:t xml:space="preserve">—</w:t>
            </w:r>
          </w:p>
        </w:tc>
      </w:tr>
      <w:tr>
        <w:tc>
          <w:tcPr/>
          <w:p>
            <w:pPr>
              <w:pStyle w:val="Compact"/>
            </w:pPr>
            <w:r>
              <w:t xml:space="preserve">5</w:t>
            </w:r>
          </w:p>
        </w:tc>
        <w:tc>
          <w:tcPr/>
          <w:p>
            <w:pPr>
              <w:pStyle w:val="Compact"/>
            </w:pPr>
            <w:r>
              <w:t xml:space="preserve">P1.4</w:t>
            </w:r>
          </w:p>
        </w:tc>
        <w:tc>
          <w:tcPr/>
          <w:p>
            <w:pPr>
              <w:pStyle w:val="Compact"/>
            </w:pPr>
            <w:r>
              <w:t xml:space="preserve">строб Y1</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строб Y2</w:t>
            </w:r>
          </w:p>
        </w:tc>
        <w:tc>
          <w:tcPr/>
          <w:p>
            <w:pPr>
              <w:pStyle w:val="Compact"/>
            </w:pPr>
            <w:r>
              <w:t xml:space="preserve">выход</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Индикатор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Регистр Y2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Клавиатура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Буфер (IDT7005)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DD2 (74HC173), который записывается по адресу клавиатуры; сброс регистра подключён к RST, поэтому после включения все столбцы в нуле. Строки Row1…Row4 через повторитель DD8 (74AC244) читаются на шину данных; элемент «И» DD7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370930"/>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370930"/>
                    </a:xfrm>
                    <a:prstGeom prst="rect">
                      <a:avLst/>
                    </a:prstGeom>
                    <a:noFill/>
                    <a:ln w="9525">
                      <a:noFill/>
                      <a:headEnd/>
                      <a:tailEnd/>
                    </a:ln>
                  </pic:spPr>
                </pic:pic>
              </a:graphicData>
            </a:graphic>
          </wp:inline>
        </w:drawing>
      </w:r>
    </w:p>
    <w:p>
      <w:pPr>
        <w:pStyle w:val="ImageCaption"/>
      </w:pPr>
      <w:r>
        <w:t xml:space="preserve">Рис. 5.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715999" cy="2347923"/>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715999" cy="2347923"/>
                    </a:xfrm>
                    <a:prstGeom prst="rect">
                      <a:avLst/>
                    </a:prstGeom>
                    <a:noFill/>
                    <a:ln w="9525">
                      <a:noFill/>
                      <a:headEnd/>
                      <a:tailEnd/>
                    </a:ln>
                  </pic:spPr>
                </pic:pic>
              </a:graphicData>
            </a:graphic>
          </wp:inline>
        </w:drawing>
      </w:r>
    </w:p>
    <w:p>
      <w:pPr>
        <w:pStyle w:val="ImageCaption"/>
      </w:pPr>
      <w:r>
        <w:t xml:space="preserve">Рис. 6.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1910 байт; для адресации нужно 11 разрядов (2</w:t>
      </w:r>
      <w:r>
        <w:rPr>
          <w:vertAlign w:val="superscript"/>
        </w:rPr>
        <w:t xml:space="preserve">11</w:t>
      </w:r>
      <w:r>
        <w:t xml:space="preserve"> </w:t>
      </w:r>
      <w:r>
        <w:t xml:space="preserve">= 2048 ≥ 1910), в схеме подключены все 13 адресных входов A0–A12, буфер занимает ячейки 0E000h–0E775h окна Y7. Микросхема работает в режиме ведомой (M/S = 0), сигналы BUSY не используются.</w:t>
      </w:r>
    </w:p>
    <w:p>
      <w:pPr>
        <w:pStyle w:val="BodyText"/>
      </w:pPr>
      <w:r>
        <w:t xml:space="preserve">Подключение выполнено по методическим указаниям (приложение А). Оба порта выбираются одним сигналом CS_buf — выходом Y7 дешифратора, и на оба порта с шины МК подаётся один и тот же адрес A0–A12, поэтому МК обращается к одной и той же ячейке с двух сторон. Левый порт работает только на чтение (R/W = 1): его данные D0–D7 подключены к шине P0, выходы открывает RD (OE). Правый порт работает только на запись (OE = 1): данные I/O0R–I/O7R подключены к разъёму внешнего устройства, запись выполняет сигнал WR МК (R/W правого порта). Внешнее устройство выставляет отсчёт</w:t>
      </w:r>
      <w:r>
        <w:t xml:space="preserve"> </w:t>
      </w:r>
      <w:r>
        <w:rPr>
          <w:i/>
          <w:iCs/>
        </w:rPr>
        <w:t xml:space="preserve">X</w:t>
      </w:r>
      <w:r>
        <w:rPr>
          <w:vertAlign w:val="subscript"/>
        </w:rPr>
        <w:t xml:space="preserve">2</w:t>
      </w:r>
      <w:r>
        <w:t xml:space="preserve"> </w:t>
      </w:r>
      <w:r>
        <w:t xml:space="preserve">на разъём и сообщает о нём стробом X2, который поступает на вход прерывания INT1. Обработчик прерывания выставляет адрес «головы» и выполняет movx</w:t>
      </w:r>
      <w:r>
        <w:t xml:space="preserve"> </w:t>
      </w:r>
      <w:r>
        <w:t xml:space="preserve">@DPTR</w:t>
      </w:r>
      <w:r>
        <w:t xml:space="preserve">, A: в цикле записи МК в ячейку попадает байт с разъёма, а не содержимое аккумулятора, после чего МК сдвигает указатель «голова» и обновляет флаги. Чтение кольца (movx A,</w:t>
      </w:r>
      <w:r>
        <w:t xml:space="preserve"> </w:t>
      </w:r>
      <w:r>
        <w:t xml:space="preserve">@DPTR</w:t>
      </w:r>
      <w:r>
        <w:t xml:space="preserve">) идёт через левый порт. Указатели и флаги буфера целиком ведёт МК, внешнему устройству адрес знать не нужно.</w:t>
      </w:r>
    </w:p>
    <w:p>
      <w:pPr>
        <w:pStyle w:val="Figure"/>
      </w:pPr>
      <w:r>
        <w:drawing>
          <wp:inline>
            <wp:extent cx="3347999" cy="4152324"/>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3347999" cy="4152324"/>
                    </a:xfrm>
                    <a:prstGeom prst="rect">
                      <a:avLst/>
                    </a:prstGeom>
                    <a:noFill/>
                    <a:ln w="9525">
                      <a:noFill/>
                      <a:headEnd/>
                      <a:tailEnd/>
                    </a:ln>
                  </pic:spPr>
                </pic:pic>
              </a:graphicData>
            </a:graphic>
          </wp:inline>
        </w:drawing>
      </w:r>
    </w:p>
    <w:p>
      <w:pPr>
        <w:pStyle w:val="ImageCaption"/>
      </w:pPr>
      <w:r>
        <w:t xml:space="preserve">Рис. 7. Подключение кольцевого буфера</w:t>
      </w:r>
    </w:p>
    <w:p>
      <w:pPr>
        <w:pStyle w:val="BodyText"/>
      </w:pPr>
      <w:r>
        <w:t xml:space="preserve">Оба порта IDT7005 включены параллельно по адресу и выборке: на них приходят одни и те же линии A0–A12 с шины МК и общий сигнал CS_buf (выход Y7 дешифратора), поэтому ячейку для обмена всегда задаёт микроконтроллер. Когда внешнее устройство выставило отсчёт X2 на разъём (это шина данных правого порта), оно дёргает строб, который приходит на вход INT1. В обработчике INT1 МК загружает в DPTR адрес «головы» и выполняет movx</w:t>
      </w:r>
      <w:r>
        <w:t xml:space="preserve"> </w:t>
      </w:r>
      <w:r>
        <w:t xml:space="preserve">@DPTR</w:t>
      </w:r>
      <w:r>
        <w:t xml:space="preserve">,A: сигнал WR приходит на R/W правого порта, и в ячейку записывается байт с разъёма, а не содержимое аккумулятора — левый порт в это время ничего не пишет, у него R/W постоянно в единице, и МК через него только читает по RD. После записи МК сам сдвигает «голову» на следующую ячейку (после последней — на первую) и сбрасывает флаг пустоты; «хвост» двигает процедура чтения, когда отсчёт X2 берётся для расчёта Y2, а при переполнении — та же процедура записи, выбрасывая самый старый отсчёт.</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8.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9.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X2 на разъёме весь цикл WR (≥ 400 нс)</w:t>
            </w:r>
          </w:p>
        </w:tc>
        <w:tc>
          <w:tcPr/>
          <w:p>
            <w:pPr>
              <w:pStyle w:val="Compact"/>
            </w:pPr>
            <w:r>
              <w:t xml:space="preserve">≥ 370</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X2 до след. отсчёта (≥ 250 мс)</w:t>
            </w:r>
          </w:p>
        </w:tc>
        <w:tc>
          <w:tcPr/>
          <w:p>
            <w:pPr>
              <w:pStyle w:val="Compact"/>
            </w:pPr>
            <w:r>
              <w:t xml:space="preserve">≥ 0</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313 мс на выводе P1.4 (отсчёт — таймер 0). Сигнал</w:t>
      </w:r>
      <w:r>
        <w:t xml:space="preserve"> </w:t>
      </w:r>
      <w:r>
        <w:rPr>
          <w:i/>
          <w:iCs/>
        </w:rPr>
        <w:t xml:space="preserve">Y</w:t>
      </w:r>
      <w:r>
        <w:rPr>
          <w:vertAlign w:val="subscript"/>
        </w:rPr>
        <w:t xml:space="preserve">2</w:t>
      </w:r>
      <w:r>
        <w:t xml:space="preserve"> </w:t>
      </w:r>
      <w:r>
        <w:t xml:space="preserve">= (21 + 11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DD6 (74AC573, рисунок 10), выбираемый выходом Y2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1751 мкс на выводе P1.5 (таймер 1).</w:t>
      </w:r>
    </w:p>
    <w:p>
      <w:pPr>
        <w:pStyle w:val="Figure"/>
      </w:pPr>
      <w:r>
        <w:drawing>
          <wp:inline>
            <wp:extent cx="5939999" cy="2425714"/>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425714"/>
                    </a:xfrm>
                    <a:prstGeom prst="rect">
                      <a:avLst/>
                    </a:prstGeom>
                    <a:noFill/>
                    <a:ln w="9525">
                      <a:noFill/>
                      <a:headEnd/>
                      <a:tailEnd/>
                    </a:ln>
                  </pic:spPr>
                </pic:pic>
              </a:graphicData>
            </a:graphic>
          </wp:inline>
        </w:drawing>
      </w:r>
    </w:p>
    <w:p>
      <w:pPr>
        <w:pStyle w:val="ImageCaption"/>
      </w:pPr>
      <w:r>
        <w:t xml:space="preserve">Рис. 10.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 ±10 %), на входе цепи питания — электролитический конденсатор 470 мкФ (C4, К50-35 16 В 470 мкФ),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8165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81652"/>
                    </a:xfrm>
                    <a:prstGeom prst="rect">
                      <a:avLst/>
                    </a:prstGeom>
                    <a:noFill/>
                    <a:ln w="9525">
                      <a:noFill/>
                      <a:headEnd/>
                      <a:tailEnd/>
                    </a:ln>
                  </pic:spPr>
                </pic:pic>
              </a:graphicData>
            </a:graphic>
          </wp:inline>
        </w:drawing>
      </w:r>
    </w:p>
    <w:p>
      <w:pPr>
        <w:pStyle w:val="ImageCaption"/>
      </w:pPr>
      <w:r>
        <w:t xml:space="preserve">Рис. 11.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07.10.26).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07.10.26).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07.10.26).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07.10.26).</w:t>
      </w:r>
    </w:p>
    <w:p>
      <w:pPr>
        <w:pStyle w:val="Compact"/>
        <w:numPr>
          <w:ilvl w:val="0"/>
          <w:numId w:val="1002"/>
        </w:numPr>
      </w:pPr>
      <w:r>
        <w:t xml:space="preserve">74AC573. Octal D-Type Latch with 3-STATE Outputs : datasheet. — Текст : электронный // onsemi : [сайт]. — URL: https://www.onsemi.com (дата обращения: 07.10.26).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07.10.26).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07.10.26).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 C2</w:t>
            </w:r>
          </w:p>
        </w:tc>
        <w:tc>
          <w:tcPr/>
          <w:p>
            <w:pPr>
              <w:pStyle w:val="Compact"/>
            </w:pPr>
            <w:r>
              <w:t xml:space="preserve">К10-17Б 30 пФ ±10 %</w:t>
            </w:r>
          </w:p>
        </w:tc>
        <w:tc>
          <w:tcPr/>
          <w:p>
            <w:pPr>
              <w:pStyle w:val="Compact"/>
            </w:pPr>
            <w:r>
              <w:t xml:space="preserve">2</w:t>
            </w:r>
          </w:p>
        </w:tc>
        <w:tc>
          <w:tcPr/>
          <w:p>
            <w:pPr>
              <w:pStyle w:val="Compact"/>
            </w:pPr>
          </w:p>
        </w:tc>
      </w:tr>
      <w:tr>
        <w:tc>
          <w:tcPr/>
          <w:p>
            <w:pPr>
              <w:pStyle w:val="Compact"/>
            </w:pPr>
            <w:r>
              <w:t xml:space="preserve">C3</w:t>
            </w:r>
          </w:p>
        </w:tc>
        <w:tc>
          <w:tcPr/>
          <w:p>
            <w:pPr>
              <w:pStyle w:val="Compact"/>
            </w:pPr>
            <w:r>
              <w:t xml:space="preserve">К50-35 16 В 10 мкФ</w:t>
            </w:r>
          </w:p>
        </w:tc>
        <w:tc>
          <w:tcPr/>
          <w:p>
            <w:pPr>
              <w:pStyle w:val="Compact"/>
            </w:pPr>
            <w:r>
              <w:t xml:space="preserve">1</w:t>
            </w:r>
          </w:p>
        </w:tc>
        <w:tc>
          <w:tcPr/>
          <w:p>
            <w:pPr>
              <w:pStyle w:val="Compact"/>
            </w:pPr>
          </w:p>
        </w:tc>
      </w:tr>
      <w:tr>
        <w:tc>
          <w:tcPr/>
          <w:p>
            <w:pPr>
              <w:pStyle w:val="Compact"/>
            </w:pPr>
            <w:r>
              <w:t xml:space="preserve">C4</w:t>
            </w:r>
          </w:p>
        </w:tc>
        <w:tc>
          <w:tcPr/>
          <w:p>
            <w:pPr>
              <w:pStyle w:val="Compact"/>
            </w:pPr>
            <w:r>
              <w:t xml:space="preserve">К50-35 16 В 470 мкФ</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 ±10 %</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 ±10 %</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DD2</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DD3</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r>
              <w:t xml:space="preserve">DD7</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DD8</w:t>
            </w:r>
          </w:p>
        </w:tc>
        <w:tc>
          <w:tcPr/>
          <w:p>
            <w:pPr>
              <w:pStyle w:val="Compact"/>
            </w:pPr>
            <w:r>
              <w:t xml:space="preserve">IN74AC244</w:t>
            </w:r>
          </w:p>
        </w:tc>
        <w:tc>
          <w:tcPr/>
          <w:p>
            <w:pPr>
              <w:pStyle w:val="Compact"/>
            </w:pPr>
            <w:r>
              <w:t xml:space="preserve">1</w:t>
            </w:r>
          </w:p>
        </w:tc>
        <w:tc>
          <w:tcPr/>
          <w:p>
            <w:pPr>
              <w:pStyle w:val="Compact"/>
            </w:pPr>
            <w:r>
              <w:t xml:space="preserve">Повторитель с тремя состояниями</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8Кx8</w:t>
            </w:r>
          </w:p>
        </w:tc>
      </w:tr>
      <w:tr>
        <w:tc>
          <w:tcPr/>
          <w:p>
            <w:pPr>
              <w:pStyle w:val="Compact"/>
            </w:pPr>
            <w:r>
              <w:t xml:space="preserve">DD11</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Индикатор FYS-5612AX</w:t>
            </w:r>
          </w:p>
        </w:tc>
        <w:tc>
          <w:tcPr/>
          <w:p>
            <w:pPr>
              <w:pStyle w:val="Compact"/>
            </w:pPr>
            <w:r>
              <w:t xml:space="preserve">1</w:t>
            </w:r>
          </w:p>
        </w:tc>
        <w:tc>
          <w:tcPr/>
          <w:p>
            <w:pPr>
              <w:pStyle w:val="Compact"/>
            </w:pPr>
            <w:r>
              <w:t xml:space="preserve">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10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R6–R9</w:t>
            </w:r>
          </w:p>
        </w:tc>
        <w:tc>
          <w:tcPr/>
          <w:p>
            <w:pPr>
              <w:pStyle w:val="Compact"/>
            </w:pPr>
            <w:r>
              <w:t xml:space="preserve">МЛТ-0,125 10 кОм ±5 %</w:t>
            </w:r>
          </w:p>
        </w:tc>
        <w:tc>
          <w:tcPr/>
          <w:p>
            <w:pPr>
              <w:pStyle w:val="Compact"/>
            </w:pPr>
            <w:r>
              <w:t xml:space="preserve">4</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Кнопка 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Диод 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Розетка PBS-2</w:t>
            </w:r>
          </w:p>
        </w:tc>
        <w:tc>
          <w:tcPr/>
          <w:p>
            <w:pPr>
              <w:pStyle w:val="Compact"/>
            </w:pPr>
            <w:r>
              <w:t xml:space="preserve">1</w:t>
            </w:r>
          </w:p>
        </w:tc>
        <w:tc>
          <w:tcPr/>
          <w:p>
            <w:pPr>
              <w:pStyle w:val="Compact"/>
            </w:pPr>
            <w:r>
              <w:t xml:space="preserve">2 конт.</w:t>
            </w:r>
          </w:p>
        </w:tc>
      </w:tr>
      <w:tr>
        <w:tc>
          <w:tcPr/>
          <w:p>
            <w:pPr>
              <w:pStyle w:val="Compact"/>
            </w:pPr>
            <w:r>
              <w:t xml:space="preserve">XS2</w:t>
            </w:r>
          </w:p>
        </w:tc>
        <w:tc>
          <w:tcPr/>
          <w:p>
            <w:pPr>
              <w:pStyle w:val="Compact"/>
            </w:pPr>
            <w:r>
              <w:t xml:space="preserve">Розетка PBS-10</w:t>
            </w:r>
          </w:p>
        </w:tc>
        <w:tc>
          <w:tcPr/>
          <w:p>
            <w:pPr>
              <w:pStyle w:val="Compact"/>
            </w:pPr>
            <w:r>
              <w:t xml:space="preserve">1</w:t>
            </w:r>
          </w:p>
        </w:tc>
        <w:tc>
          <w:tcPr/>
          <w:p>
            <w:pPr>
              <w:pStyle w:val="Compact"/>
            </w:pPr>
            <w:r>
              <w:t xml:space="preserve">10 конт.</w:t>
            </w:r>
          </w:p>
        </w:tc>
      </w:tr>
      <w:tr>
        <w:tc>
          <w:tcPr/>
          <w:p>
            <w:pPr>
              <w:pStyle w:val="Compact"/>
            </w:pPr>
            <w:r>
              <w:t xml:space="preserve">XS3</w:t>
            </w:r>
          </w:p>
        </w:tc>
        <w:tc>
          <w:tcPr/>
          <w:p>
            <w:pPr>
              <w:pStyle w:val="Compact"/>
            </w:pPr>
            <w:r>
              <w:t xml:space="preserve">Розетка PBS-11</w:t>
            </w:r>
          </w:p>
        </w:tc>
        <w:tc>
          <w:tcPr/>
          <w:p>
            <w:pPr>
              <w:pStyle w:val="Compact"/>
            </w:pPr>
            <w:r>
              <w:t xml:space="preserve">1</w:t>
            </w:r>
          </w:p>
        </w:tc>
        <w:tc>
          <w:tcPr/>
          <w:p>
            <w:pPr>
              <w:pStyle w:val="Compact"/>
            </w:pPr>
            <w:r>
              <w:t xml:space="preserve">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Резонатор кварцевый HC-49S 12 МГц</w:t>
            </w:r>
          </w:p>
        </w:tc>
        <w:tc>
          <w:tcPr/>
          <w:p>
            <w:pPr>
              <w:pStyle w:val="Compact"/>
            </w:pPr>
            <w:r>
              <w:t xml:space="preserve">1</w:t>
            </w:r>
          </w:p>
        </w:tc>
        <w:tc>
          <w:tcPr/>
          <w:p>
            <w:pPr>
              <w:pStyle w:val="Compact"/>
            </w:pP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 Б.1. Схема электрическая принципиальная (группа Аэ-21-23, вариант 11,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0"/>
      <w:jc w:val="center"/>
      <w:outlineLvl w:val="0"/>
    </w:pPr>
    <w:rPr>
      <w:rFonts w:ascii="Times New Roman" w:cs="Times New Roman" w:eastAsia="Times New Roman" w:hAnsi="Times New Roman"/>
      <w:b/>
      <w:caps/>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2026-10-08T09:27:54Z</dcterms:created>
  <dcterms:modified xsi:type="dcterms:W3CDTF">2026-10-08T09:27:54Z</dcterms:modified>
</cp:coreProperties>
</file>

<file path=docProps/custom.xml><?xml version="1.0" encoding="utf-8"?>
<Properties xmlns="http://schemas.openxmlformats.org/officeDocument/2006/custom-properties" xmlns:vt="http://schemas.openxmlformats.org/officeDocument/2006/docPropsVTypes"/>
</file>