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07.10.26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C1, C2 выбраны по рекомендации производителя МК (30 пФ ± 10 пФ) [1].</w:t>
      </w:r>
    </w:p>
    <w:p>
      <w:pPr>
        <w:pStyle w:val="Figure"/>
      </w:pPr>
      <w:r>
        <w:drawing>
          <wp:inline>
            <wp:extent cx="5651999" cy="3945357"/>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945357"/>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C3–R1: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 кОм · 10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DD2 (74HC173), который записывается по адресу клавиатуры; сброс регистра подключён к RST, поэтому после включения все столбцы в нуле. Строки Row1…Row4 через повторитель DD8 (74AC244) читаются на шину данных; элемент «И» DD7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370930"/>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370930"/>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715999" cy="2347923"/>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715999" cy="2347923"/>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в схеме подключены все 13 адресных входов A0–A12, буфер занимает ячейки 0E000h–0E775h окна Y7. Микросхема работает в режиме ведомой (M/S = 0), сигналы BUSY не используются.</w:t>
      </w:r>
    </w:p>
    <w:p>
      <w:pPr>
        <w:pStyle w:val="BodyText"/>
      </w:pPr>
      <w:r>
        <w:t xml:space="preserve">Буфер обеспечивает независимый доступ внешнего устройства (ТЗ, разд. 2.1, п. 6): порты ОЗУ работают одновременно и не мешают друг другу. Левый порт целиком отдан МК: адрес A0–A12 с шины, данные D0–D7 — шина P0, выбор CE — выход Y7 дешифратора (CS_buf), OE — RD, R/W — WR; через него МК и читает отсчёты из кольца, и записывает их туда (процедура доступа к буферу, табл. 1 ТЗ). Правый порт целиком выведен на отдельный разъём доступа к буферу (ТЗ, разд. 2.1, п. 9): адрес A0R–A12R, данные I/O0R–I/O7R и строб записи низкого уровня, который подаётся на R/W правого порта; CE правого порта подключён к общему проводу, OE — к питанию (порт только пишет). Внешнее устройство выставляет адрес ячейки обмена 0FFFFh, отсчёт</w:t>
      </w:r>
      <w:r>
        <w:t xml:space="preserve"> </w:t>
      </w:r>
      <w:r>
        <w:rPr>
          <w:i/>
          <w:iCs/>
        </w:rPr>
        <w:t xml:space="preserve">X</w:t>
      </w:r>
      <w:r>
        <w:rPr>
          <w:vertAlign w:val="subscript"/>
        </w:rPr>
        <w:t xml:space="preserve">2</w:t>
      </w:r>
      <w:r>
        <w:t xml:space="preserve"> </w:t>
      </w:r>
      <w:r>
        <w:t xml:space="preserve">и строб; тот же строб поступает на вход прерывания INT1 МК. Прерывание срабатывает по спаду строба, а ОЗУ запоминает байт по его фронту, поэтому обработчик сначала дожидается конца строба (вывод прерывания снова в 1) и только потом читает ячейку обмена через левый порт и кладёт отсчёт в кольцо 0E000h–0E775h процедурой записи, сдвигая указатель «голова» и обновляя флаги пустоты и переполнения. Указатели и флаги целиком ведёт МК.</w:t>
      </w:r>
    </w:p>
    <w:p>
      <w:pPr>
        <w:pStyle w:val="Figure"/>
      </w:pPr>
      <w:r>
        <w:drawing>
          <wp:inline>
            <wp:extent cx="3347999" cy="4152324"/>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3347999" cy="4152324"/>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Оба порта IDT7005 включены параллельно по адресу и выборке: на них приходят одни и те же линии A0–A12 с шины МК и общий сигнал CS_buf (выход Y7 дешифратора), поэтому ячейку для обмена всегда задаёт микроконтроллер. Когда внешнее устройство выставило отсчёт X2 на разъём (это шина данных правого порта), оно дёргает строб, который приходит на вход INT1. В обработчике INT1 МК загружает в DPTR адрес «головы» и выполняет movx</w:t>
      </w:r>
      <w:r>
        <w:t xml:space="preserve"> </w:t>
      </w:r>
      <w:r>
        <w:t xml:space="preserve">@DPTR</w:t>
      </w:r>
      <w:r>
        <w:t xml:space="preserve">,A: сигнал WR приходит на R/W правого порта, и в ячейку записывается байт с разъёма, а не содержимое аккумулятора — левый порт в это время ничего не пишет, у него R/W постоянно в единице, и МК через него только читает по RD. После записи МК сам сдвигает «голову» на следующую ячейку (после последней — на первую) и сбрасывает флаг пустоты; «хвост» двигает процедура чтения, когда отсчёт X2 берётся для расчёта Y2, а при переполнении — та же процедура записи, выбрасывая самый старый отсчёт.</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DD6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425714"/>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425714"/>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на входе цепи питания — электролитический конденсатор 470 мкФ (C4, К50-35 16 В 470 мкФ),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8165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8165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07.10.26).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07.10.26).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07.10.26).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07.10.26).</w:t>
      </w:r>
    </w:p>
    <w:p>
      <w:pPr>
        <w:pStyle w:val="Compact"/>
        <w:numPr>
          <w:ilvl w:val="0"/>
          <w:numId w:val="1002"/>
        </w:numPr>
      </w:pPr>
      <w:r>
        <w:t xml:space="preserve">74AC573. Octal D-Type Latch with 3-STATE Outputs : datasheet. — Текст : электронный // onsemi : [сайт]. — URL: https://www.onsemi.com (дата обращения: 07.10.26).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07.10.26).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07.10.26).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 C2</w:t>
            </w:r>
          </w:p>
        </w:tc>
        <w:tc>
          <w:tcPr/>
          <w:p>
            <w:pPr>
              <w:pStyle w:val="Compact"/>
            </w:pPr>
            <w:r>
              <w:t xml:space="preserve">К10-17Б 30 пФ ±10 %</w:t>
            </w:r>
          </w:p>
        </w:tc>
        <w:tc>
          <w:tcPr/>
          <w:p>
            <w:pPr>
              <w:pStyle w:val="Compact"/>
            </w:pPr>
            <w:r>
              <w:t xml:space="preserve">2</w:t>
            </w:r>
          </w:p>
        </w:tc>
        <w:tc>
          <w:tcPr/>
          <w:p>
            <w:pPr>
              <w:pStyle w:val="Compact"/>
            </w:pPr>
          </w:p>
        </w:tc>
      </w:tr>
      <w:tr>
        <w:tc>
          <w:tcPr/>
          <w:p>
            <w:pPr>
              <w:pStyle w:val="Compact"/>
            </w:pPr>
            <w:r>
              <w:t xml:space="preserve">C3</w:t>
            </w:r>
          </w:p>
        </w:tc>
        <w:tc>
          <w:tcPr/>
          <w:p>
            <w:pPr>
              <w:pStyle w:val="Compact"/>
            </w:pPr>
            <w:r>
              <w:t xml:space="preserve">К50-35 16 В 10 мкФ</w:t>
            </w:r>
          </w:p>
        </w:tc>
        <w:tc>
          <w:tcPr/>
          <w:p>
            <w:pPr>
              <w:pStyle w:val="Compact"/>
            </w:pPr>
            <w:r>
              <w:t xml:space="preserve">1</w:t>
            </w:r>
          </w:p>
        </w:tc>
        <w:tc>
          <w:tcPr/>
          <w:p>
            <w:pPr>
              <w:pStyle w:val="Compact"/>
            </w:pPr>
          </w:p>
        </w:tc>
      </w:tr>
      <w:tr>
        <w:tc>
          <w:tcPr/>
          <w:p>
            <w:pPr>
              <w:pStyle w:val="Compact"/>
            </w:pPr>
            <w:r>
              <w:t xml:space="preserve">C4</w:t>
            </w:r>
          </w:p>
        </w:tc>
        <w:tc>
          <w:tcPr/>
          <w:p>
            <w:pPr>
              <w:pStyle w:val="Compact"/>
            </w:pPr>
            <w:r>
              <w:t xml:space="preserve">К50-35 16 В 470 мкФ</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DD2</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DD3</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r>
              <w:t xml:space="preserve">DD7</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DD8</w:t>
            </w:r>
          </w:p>
        </w:tc>
        <w:tc>
          <w:tcPr/>
          <w:p>
            <w:pPr>
              <w:pStyle w:val="Compact"/>
            </w:pPr>
            <w:r>
              <w:t xml:space="preserve">IN74AC244</w:t>
            </w:r>
          </w:p>
        </w:tc>
        <w:tc>
          <w:tcPr/>
          <w:p>
            <w:pPr>
              <w:pStyle w:val="Compact"/>
            </w:pPr>
            <w:r>
              <w:t xml:space="preserve">1</w:t>
            </w:r>
          </w:p>
        </w:tc>
        <w:tc>
          <w:tcPr/>
          <w:p>
            <w:pPr>
              <w:pStyle w:val="Compact"/>
            </w:pPr>
            <w:r>
              <w:t xml:space="preserve">Повторитель с тремя состояниями</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8Кx8</w:t>
            </w:r>
          </w:p>
        </w:tc>
      </w:tr>
      <w:tr>
        <w:tc>
          <w:tcPr/>
          <w:p>
            <w:pPr>
              <w:pStyle w:val="Compact"/>
            </w:pPr>
            <w:r>
              <w:t xml:space="preserve">DD11</w:t>
            </w:r>
          </w:p>
        </w:tc>
        <w:tc>
          <w:tcPr/>
          <w:p>
            <w:pPr>
              <w:pStyle w:val="Compact"/>
            </w:pPr>
            <w:r>
              <w:t xml:space="preserve">74AC573</w:t>
            </w:r>
          </w:p>
        </w:tc>
        <w:tc>
          <w:tcPr/>
          <w:p>
            <w:pPr>
              <w:pStyle w:val="Compact"/>
            </w:pPr>
            <w:r>
              <w:t xml:space="preserve">1</w:t>
            </w:r>
          </w:p>
        </w:tc>
        <w:tc>
          <w:tcPr/>
          <w:p>
            <w:pPr>
              <w:pStyle w:val="Compact"/>
            </w:pPr>
            <w:r>
              <w:t xml:space="preserve">Регистр 8-разрядный</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Индикатор FYS-5612AX</w:t>
            </w:r>
          </w:p>
        </w:tc>
        <w:tc>
          <w:tcPr/>
          <w:p>
            <w:pPr>
              <w:pStyle w:val="Compact"/>
            </w:pPr>
            <w:r>
              <w:t xml:space="preserve">1</w:t>
            </w:r>
          </w:p>
        </w:tc>
        <w:tc>
          <w:tcPr/>
          <w:p>
            <w:pPr>
              <w:pStyle w:val="Compact"/>
            </w:pPr>
            <w:r>
              <w:t xml:space="preserve">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w:t>
            </w:r>
          </w:p>
        </w:tc>
        <w:tc>
          <w:tcPr/>
          <w:p>
            <w:pPr>
              <w:pStyle w:val="Compact"/>
            </w:pPr>
            <w:r>
              <w:t xml:space="preserve">МЛТ-0,125 10 кОм ±5 %</w:t>
            </w:r>
          </w:p>
        </w:tc>
        <w:tc>
          <w:tcPr/>
          <w:p>
            <w:pPr>
              <w:pStyle w:val="Compact"/>
            </w:pPr>
            <w:r>
              <w:t xml:space="preserve">4</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Кнопка 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Диод 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Розетка PBS-2</w:t>
            </w:r>
          </w:p>
        </w:tc>
        <w:tc>
          <w:tcPr/>
          <w:p>
            <w:pPr>
              <w:pStyle w:val="Compact"/>
            </w:pPr>
            <w:r>
              <w:t xml:space="preserve">1</w:t>
            </w:r>
          </w:p>
        </w:tc>
        <w:tc>
          <w:tcPr/>
          <w:p>
            <w:pPr>
              <w:pStyle w:val="Compact"/>
            </w:pPr>
            <w:r>
              <w:t xml:space="preserve">2 конт.</w:t>
            </w:r>
          </w:p>
        </w:tc>
      </w:tr>
      <w:tr>
        <w:tc>
          <w:tcPr/>
          <w:p>
            <w:pPr>
              <w:pStyle w:val="Compact"/>
            </w:pPr>
            <w:r>
              <w:t xml:space="preserve">XS2</w:t>
            </w:r>
          </w:p>
        </w:tc>
        <w:tc>
          <w:tcPr/>
          <w:p>
            <w:pPr>
              <w:pStyle w:val="Compact"/>
            </w:pPr>
            <w:r>
              <w:t xml:space="preserve">Розетка PBS-10</w:t>
            </w:r>
          </w:p>
        </w:tc>
        <w:tc>
          <w:tcPr/>
          <w:p>
            <w:pPr>
              <w:pStyle w:val="Compact"/>
            </w:pPr>
            <w:r>
              <w:t xml:space="preserve">1</w:t>
            </w:r>
          </w:p>
        </w:tc>
        <w:tc>
          <w:tcPr/>
          <w:p>
            <w:pPr>
              <w:pStyle w:val="Compact"/>
            </w:pPr>
            <w:r>
              <w:t xml:space="preserve">10 конт.</w:t>
            </w:r>
          </w:p>
        </w:tc>
      </w:tr>
      <w:tr>
        <w:tc>
          <w:tcPr/>
          <w:p>
            <w:pPr>
              <w:pStyle w:val="Compact"/>
            </w:pPr>
            <w:r>
              <w:t xml:space="preserve">XS3</w:t>
            </w:r>
          </w:p>
        </w:tc>
        <w:tc>
          <w:tcPr/>
          <w:p>
            <w:pPr>
              <w:pStyle w:val="Compact"/>
            </w:pPr>
            <w:r>
              <w:t xml:space="preserve">Розетка PBS-11</w:t>
            </w:r>
          </w:p>
        </w:tc>
        <w:tc>
          <w:tcPr/>
          <w:p>
            <w:pPr>
              <w:pStyle w:val="Compact"/>
            </w:pPr>
            <w:r>
              <w:t xml:space="preserve">1</w:t>
            </w:r>
          </w:p>
        </w:tc>
        <w:tc>
          <w:tcPr/>
          <w:p>
            <w:pPr>
              <w:pStyle w:val="Compact"/>
            </w:pPr>
            <w:r>
              <w:t xml:space="preserve">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Резонатор кварцевый HC-49S 12 МГц</w:t>
            </w:r>
          </w:p>
        </w:tc>
        <w:tc>
          <w:tcPr/>
          <w:p>
            <w:pPr>
              <w:pStyle w:val="Compact"/>
            </w:pPr>
            <w:r>
              <w:t xml:space="preserve">1</w:t>
            </w:r>
          </w:p>
        </w:tc>
        <w:tc>
          <w:tcPr/>
          <w:p>
            <w:pPr>
              <w:pStyle w:val="Compact"/>
            </w:pP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2026-10-09T17:18:20Z</dcterms:created>
  <dcterms:modified xsi:type="dcterms:W3CDTF">2026-10-09T17:18:20Z</dcterms:modified>
</cp:coreProperties>
</file>

<file path=docProps/custom.xml><?xml version="1.0" encoding="utf-8"?>
<Properties xmlns="http://schemas.openxmlformats.org/officeDocument/2006/custom-properties" xmlns:vt="http://schemas.openxmlformats.org/officeDocument/2006/docPropsVTypes"/>
</file>