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Грошев А.В.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А-06-23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1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07.10.26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Ключанский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1, группа А-06-23), выполнены расчёты элементов сопряжения и построены временные диаграммы обмена МК с буфером.</w:t>
      </w:r>
    </w:p>
    <w:p>
      <w:pPr>
        <w:pStyle w:val="Fill"/>
      </w:pPr>
      <w:r>
        <w:t xml:space="preserve">✍ ДОПИШИ (p1.intro в students/…/pz/): одним абзацем — что делает твоя система и чем вариант отличается (клавиатура, индикатор, сигналы Y). Можно удалить подсказку, если введение устраивает.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176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1536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176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2,150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1536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38h, «хвост» 3Ah; флаги пустоты 20h.1 и переполнения 20h.7;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Буфер (IDT7005)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Индикатор (Y2)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Регистр Y2 (Y3)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Клавиатура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DD8 (74AC244) читаются на шину данных; элемент «И» DD7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37093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37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(C16–C19)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(C16–C19)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FYS-5612AX с общим катодом — сегмент горит при высоком уровне.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(R10–R17,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7). Объём буфера по варианту V = 1210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1210), в схеме подключены все 13 адресных входов A0–A12, буфер занимает ячейки 2000h–24B9h окна Y1.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Подключение выполнено по методическим указаниям (приложение А). Оба порта выбираются одним сигналом CS_buf — выходом Y1 дешифратора, и на оба порта с шины МК подаётся один и тот же адрес A0–A12, поэтому МК обращается к одной и той же ячейке с двух сторон. Левый порт работает только на чтение (R/W = 1): его данные D0–D7 подключены к шине P0, выходы открывает RD (OE). Правый порт работает только на запись (OE = 1): данные I/O0R–I/O7R подключены к разъёму внешнего устройства, запись выполняет сигнал WR МК (R/W правого порта). Внешнее устройство выставляет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на разъём и сообщает о нём стробом X2, который поступает на вход прерывания INT1. Обработчик прерывания выставляет адрес «головы» и выполняет movx</w:t>
      </w:r>
      <w:r>
        <w:t xml:space="preserve"> </w:t>
      </w:r>
      <w:r>
        <w:t xml:space="preserve">@DPTR</w:t>
      </w:r>
      <w:r>
        <w:t xml:space="preserve">, A: в цикле записи МК в ячейку попадает байт с разъёма, а не содержимое аккумулятора, после чего МК сдвигает указатель «голова» и обновляет флаги. Чтение кольца (movx A,</w:t>
      </w:r>
      <w:r>
        <w:t xml:space="preserve"> </w:t>
      </w:r>
      <w:r>
        <w:t xml:space="preserve">@DPTR</w:t>
      </w:r>
      <w:r>
        <w:t xml:space="preserve">) идёт через левый порт. Указатели и флаги буфера целиком ведёт МК, внешнему устройству адрес знать не нужно.</w:t>
      </w:r>
    </w:p>
    <w:p>
      <w:pPr>
        <w:pStyle w:val="Figure"/>
      </w:pPr>
      <w:r>
        <w:drawing>
          <wp:inline>
            <wp:extent cx="3347999" cy="415232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15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Подключение кольцевого буфера</w:t>
      </w:r>
    </w:p>
    <w:p>
      <w:pPr>
        <w:pStyle w:val="Fill"/>
      </w:pPr>
      <w:r>
        <w:t xml:space="preserve">✍ ДОПИШИ (p1.buffer в students/…/pz/): опиши своими словами, как внешнее устройство записывает X2 и как МК читает буфер (кто выставляет адрес, какой строб, какое прерывание, кто двигает «голову» и «хвост»). 3–5 предложений.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X2 на разъёме весь цикл WR (≥ 400 нс)</w:t>
            </w:r>
          </w:p>
        </w:tc>
        <w:tc>
          <w:tcPr/>
          <w:p>
            <w:pPr>
              <w:pStyle w:val="Compact"/>
            </w:pPr>
            <w:r>
              <w:t xml:space="preserve">≥ 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X2 до след. отсчёта (≥ 250 мс)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Все требования ОЗУ выполняются с запасом в несколько раз: память отвечает за 30–55 нс, а МК отводит на обмен сотни наносекунд. Такты ожидания не требуются (у МК семейства MCS-51 их и нет), буфер IDT7005 подключается к шине МК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176 мс на выводе P1.1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(6 + 1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DD6 (74AC573, рисунок 10), выбираемый выходом Y3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1536 мкс на выводе P1.2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C16–C19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FYS-5612AX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катод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R6–R9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R10–R17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Б.1 — Схема электрическая принципиальная (группа А-06-23, вариант 1,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2026-10-07T15:39:18Z</dcterms:created>
  <dcterms:modified xsi:type="dcterms:W3CDTF">2026-10-07T15:39:18Z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